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30B0" w14:textId="3AD4A492" w:rsidR="00716DFE" w:rsidRDefault="00EB34F5" w:rsidP="00E4004A">
      <w:pPr>
        <w:jc w:val="center"/>
      </w:pPr>
      <w:bookmarkStart w:id="0" w:name="_GoBack"/>
      <w:bookmarkEnd w:id="0"/>
      <w:r>
        <w:rPr>
          <w:noProof/>
          <w:lang w:eastAsia="en-CA"/>
        </w:rPr>
        <w:drawing>
          <wp:anchor distT="0" distB="0" distL="114300" distR="114300" simplePos="0" relativeHeight="251664384" behindDoc="1" locked="0" layoutInCell="1" allowOverlap="1" wp14:anchorId="21595876" wp14:editId="52E12673">
            <wp:simplePos x="0" y="0"/>
            <wp:positionH relativeFrom="column">
              <wp:posOffset>-914400</wp:posOffset>
            </wp:positionH>
            <wp:positionV relativeFrom="paragraph">
              <wp:posOffset>-923192</wp:posOffset>
            </wp:positionV>
            <wp:extent cx="7754522" cy="4844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3324" t="48407" r="16456"/>
                    <a:stretch/>
                  </pic:blipFill>
                  <pic:spPr bwMode="auto">
                    <a:xfrm>
                      <a:off x="0" y="0"/>
                      <a:ext cx="7755691" cy="4845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5408" behindDoc="1" locked="0" layoutInCell="1" allowOverlap="1" wp14:anchorId="739242E5" wp14:editId="0ABA50E8">
            <wp:simplePos x="0" y="0"/>
            <wp:positionH relativeFrom="column">
              <wp:posOffset>1248508</wp:posOffset>
            </wp:positionH>
            <wp:positionV relativeFrom="page">
              <wp:posOffset>395654</wp:posOffset>
            </wp:positionV>
            <wp:extent cx="5943600" cy="594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 wheel larg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anchor>
        </w:drawing>
      </w:r>
    </w:p>
    <w:p w14:paraId="4B3F712D" w14:textId="602FB1E0" w:rsidR="00A67403" w:rsidRDefault="00122BE4" w:rsidP="00FA639E">
      <w:pPr>
        <w:pStyle w:val="TOCHeading"/>
      </w:pPr>
      <w:r>
        <w:rPr>
          <w:noProof/>
          <w:lang w:val="en-CA" w:eastAsia="en-CA"/>
        </w:rPr>
        <mc:AlternateContent>
          <mc:Choice Requires="wps">
            <w:drawing>
              <wp:anchor distT="0" distB="0" distL="114300" distR="114300" simplePos="0" relativeHeight="251660288" behindDoc="1" locked="0" layoutInCell="1" allowOverlap="1" wp14:anchorId="5F225E47" wp14:editId="752E2474">
                <wp:simplePos x="0" y="0"/>
                <wp:positionH relativeFrom="column">
                  <wp:posOffset>-289560</wp:posOffset>
                </wp:positionH>
                <wp:positionV relativeFrom="page">
                  <wp:posOffset>8577580</wp:posOffset>
                </wp:positionV>
                <wp:extent cx="4912995" cy="1028700"/>
                <wp:effectExtent l="0" t="0" r="0" b="12700"/>
                <wp:wrapTight wrapText="bothSides">
                  <wp:wrapPolygon edited="0">
                    <wp:start x="112" y="0"/>
                    <wp:lineTo x="112" y="21333"/>
                    <wp:lineTo x="21329" y="21333"/>
                    <wp:lineTo x="21329" y="0"/>
                    <wp:lineTo x="112" y="0"/>
                  </wp:wrapPolygon>
                </wp:wrapTight>
                <wp:docPr id="6" name="Text Box 6"/>
                <wp:cNvGraphicFramePr/>
                <a:graphic xmlns:a="http://schemas.openxmlformats.org/drawingml/2006/main">
                  <a:graphicData uri="http://schemas.microsoft.com/office/word/2010/wordprocessingShape">
                    <wps:wsp>
                      <wps:cNvSpPr txBox="1"/>
                      <wps:spPr>
                        <a:xfrm>
                          <a:off x="0" y="0"/>
                          <a:ext cx="491299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62092" w14:textId="479521BE" w:rsidR="00DD1587" w:rsidRDefault="00DD1587" w:rsidP="004A7C5C">
                            <w:pPr>
                              <w:spacing w:after="0"/>
                              <w:rPr>
                                <w:rFonts w:cstheme="majorHAnsi"/>
                                <w:sz w:val="24"/>
                              </w:rPr>
                            </w:pPr>
                            <w:r>
                              <w:rPr>
                                <w:rFonts w:cstheme="majorHAnsi"/>
                                <w:sz w:val="24"/>
                              </w:rPr>
                              <w:t xml:space="preserve">Prepared by </w:t>
                            </w:r>
                            <w:r w:rsidRPr="004A7C5C">
                              <w:rPr>
                                <w:rFonts w:cstheme="majorHAnsi"/>
                                <w:sz w:val="24"/>
                              </w:rPr>
                              <w:t>Shannon Kindornay</w:t>
                            </w:r>
                            <w:r>
                              <w:rPr>
                                <w:rFonts w:cstheme="majorHAnsi"/>
                                <w:sz w:val="24"/>
                              </w:rPr>
                              <w:t xml:space="preserve">, </w:t>
                            </w:r>
                            <w:r w:rsidRPr="004A7C5C">
                              <w:rPr>
                                <w:rFonts w:cstheme="majorHAnsi"/>
                                <w:sz w:val="24"/>
                              </w:rPr>
                              <w:t>Adjunct Research Professor</w:t>
                            </w:r>
                            <w:r>
                              <w:rPr>
                                <w:rFonts w:cstheme="majorHAnsi"/>
                                <w:sz w:val="24"/>
                              </w:rPr>
                              <w:t>, Carleton University</w:t>
                            </w:r>
                            <w:r w:rsidRPr="004A7C5C">
                              <w:rPr>
                                <w:rFonts w:cstheme="majorHAnsi"/>
                                <w:sz w:val="24"/>
                              </w:rPr>
                              <w:t xml:space="preserve"> </w:t>
                            </w:r>
                            <w:r>
                              <w:rPr>
                                <w:rFonts w:cstheme="majorHAnsi"/>
                                <w:sz w:val="24"/>
                              </w:rPr>
                              <w:t xml:space="preserve">and </w:t>
                            </w:r>
                            <w:r w:rsidRPr="004A7C5C">
                              <w:rPr>
                                <w:rFonts w:cstheme="majorHAnsi"/>
                                <w:sz w:val="24"/>
                              </w:rPr>
                              <w:t>Independent Consultant</w:t>
                            </w:r>
                            <w:r>
                              <w:rPr>
                                <w:rFonts w:cstheme="majorHAnsi"/>
                                <w:sz w:val="24"/>
                              </w:rPr>
                              <w:t>, in collaboration with OCIC</w:t>
                            </w:r>
                          </w:p>
                          <w:p w14:paraId="6491F86A" w14:textId="77777777" w:rsidR="003B0524" w:rsidRDefault="003B0524" w:rsidP="004A7C5C">
                            <w:pPr>
                              <w:spacing w:after="0"/>
                              <w:rPr>
                                <w:rFonts w:cstheme="majorHAnsi"/>
                                <w:sz w:val="24"/>
                              </w:rPr>
                            </w:pPr>
                          </w:p>
                          <w:p w14:paraId="2441E380" w14:textId="751CFC9D" w:rsidR="00DD1587" w:rsidRPr="004A7C5C" w:rsidRDefault="00DD1587" w:rsidP="004A7C5C">
                            <w:pPr>
                              <w:spacing w:after="0"/>
                              <w:rPr>
                                <w:rFonts w:cstheme="majorHAnsi"/>
                                <w:sz w:val="24"/>
                              </w:rPr>
                            </w:pPr>
                            <w:r>
                              <w:rPr>
                                <w:rFonts w:cstheme="majorHAnsi"/>
                                <w:sz w:val="24"/>
                              </w:rPr>
                              <w:t>November 2016</w:t>
                            </w:r>
                          </w:p>
                          <w:p w14:paraId="4E8A6E15" w14:textId="77777777" w:rsidR="00DD1587" w:rsidRDefault="00DD1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F225E47" id="_x0000_t202" coordsize="21600,21600" o:spt="202" path="m0,0l0,21600,21600,21600,21600,0xe">
                <v:stroke joinstyle="miter"/>
                <v:path gradientshapeok="t" o:connecttype="rect"/>
              </v:shapetype>
              <v:shape id="Text Box 6" o:spid="_x0000_s1026" type="#_x0000_t202" style="position:absolute;margin-left:-22.8pt;margin-top:675.4pt;width:386.8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" filled="f" stroked="f" strokeweight=".5pt">
                <v:textbox>
                  <w:txbxContent>
                    <w:p w14:paraId="6FC62092" w14:textId="479521BE" w:rsidR="00DD1587" w:rsidRDefault="00DD1587" w:rsidP="004A7C5C">
                      <w:pPr>
                        <w:spacing w:after="0"/>
                        <w:rPr>
                          <w:rFonts w:cstheme="majorHAnsi"/>
                          <w:sz w:val="24"/>
                        </w:rPr>
                      </w:pPr>
                      <w:r>
                        <w:rPr>
                          <w:rFonts w:cstheme="majorHAnsi"/>
                          <w:sz w:val="24"/>
                        </w:rPr>
                        <w:t xml:space="preserve">Prepared by </w:t>
                      </w:r>
                      <w:r w:rsidRPr="004A7C5C">
                        <w:rPr>
                          <w:rFonts w:cstheme="majorHAnsi"/>
                          <w:sz w:val="24"/>
                        </w:rPr>
                        <w:t xml:space="preserve">Shannon </w:t>
                      </w:r>
                      <w:proofErr w:type="spellStart"/>
                      <w:r w:rsidRPr="004A7C5C">
                        <w:rPr>
                          <w:rFonts w:cstheme="majorHAnsi"/>
                          <w:sz w:val="24"/>
                        </w:rPr>
                        <w:t>Kindornay</w:t>
                      </w:r>
                      <w:proofErr w:type="spellEnd"/>
                      <w:r>
                        <w:rPr>
                          <w:rFonts w:cstheme="majorHAnsi"/>
                          <w:sz w:val="24"/>
                        </w:rPr>
                        <w:t xml:space="preserve">, </w:t>
                      </w:r>
                      <w:r w:rsidRPr="004A7C5C">
                        <w:rPr>
                          <w:rFonts w:cstheme="majorHAnsi"/>
                          <w:sz w:val="24"/>
                        </w:rPr>
                        <w:t>Adjunct Research Professor</w:t>
                      </w:r>
                      <w:r>
                        <w:rPr>
                          <w:rFonts w:cstheme="majorHAnsi"/>
                          <w:sz w:val="24"/>
                        </w:rPr>
                        <w:t>, Carleton University</w:t>
                      </w:r>
                      <w:r w:rsidRPr="004A7C5C">
                        <w:rPr>
                          <w:rFonts w:cstheme="majorHAnsi"/>
                          <w:sz w:val="24"/>
                        </w:rPr>
                        <w:t xml:space="preserve"> </w:t>
                      </w:r>
                      <w:r>
                        <w:rPr>
                          <w:rFonts w:cstheme="majorHAnsi"/>
                          <w:sz w:val="24"/>
                        </w:rPr>
                        <w:t xml:space="preserve">and </w:t>
                      </w:r>
                      <w:r w:rsidRPr="004A7C5C">
                        <w:rPr>
                          <w:rFonts w:cstheme="majorHAnsi"/>
                          <w:sz w:val="24"/>
                        </w:rPr>
                        <w:t>Independent Consultant</w:t>
                      </w:r>
                      <w:r>
                        <w:rPr>
                          <w:rFonts w:cstheme="majorHAnsi"/>
                          <w:sz w:val="24"/>
                        </w:rPr>
                        <w:t>, in collaboration with OCIC</w:t>
                      </w:r>
                    </w:p>
                    <w:p w14:paraId="6491F86A" w14:textId="77777777" w:rsidR="003B0524" w:rsidRDefault="003B0524" w:rsidP="004A7C5C">
                      <w:pPr>
                        <w:spacing w:after="0"/>
                        <w:rPr>
                          <w:rFonts w:cstheme="majorHAnsi"/>
                          <w:sz w:val="24"/>
                        </w:rPr>
                      </w:pPr>
                      <w:bookmarkStart w:id="1" w:name="_GoBack"/>
                      <w:bookmarkEnd w:id="1"/>
                    </w:p>
                    <w:p w14:paraId="2441E380" w14:textId="751CFC9D" w:rsidR="00DD1587" w:rsidRPr="004A7C5C" w:rsidRDefault="00DD1587" w:rsidP="004A7C5C">
                      <w:pPr>
                        <w:spacing w:after="0"/>
                        <w:rPr>
                          <w:rFonts w:cstheme="majorHAnsi"/>
                          <w:sz w:val="24"/>
                        </w:rPr>
                      </w:pPr>
                      <w:r>
                        <w:rPr>
                          <w:rFonts w:cstheme="majorHAnsi"/>
                          <w:sz w:val="24"/>
                        </w:rPr>
                        <w:t>November 2016</w:t>
                      </w:r>
                    </w:p>
                    <w:p w14:paraId="4E8A6E15" w14:textId="77777777" w:rsidR="00DD1587" w:rsidRDefault="00DD1587"/>
                  </w:txbxContent>
                </v:textbox>
                <w10:wrap type="tight" anchory="page"/>
              </v:shape>
            </w:pict>
          </mc:Fallback>
        </mc:AlternateContent>
      </w:r>
      <w:r w:rsidR="004A7C5C">
        <w:rPr>
          <w:noProof/>
          <w:lang w:val="en-CA" w:eastAsia="en-CA"/>
        </w:rPr>
        <w:drawing>
          <wp:anchor distT="0" distB="0" distL="114300" distR="114300" simplePos="0" relativeHeight="251661312" behindDoc="1" locked="0" layoutInCell="1" allowOverlap="1" wp14:anchorId="34EE9453" wp14:editId="20C7B9B7">
            <wp:simplePos x="0" y="0"/>
            <wp:positionH relativeFrom="column">
              <wp:posOffset>4743450</wp:posOffset>
            </wp:positionH>
            <wp:positionV relativeFrom="page">
              <wp:posOffset>8585835</wp:posOffset>
            </wp:positionV>
            <wp:extent cx="1590675" cy="961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with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961060"/>
                    </a:xfrm>
                    <a:prstGeom prst="rect">
                      <a:avLst/>
                    </a:prstGeom>
                  </pic:spPr>
                </pic:pic>
              </a:graphicData>
            </a:graphic>
            <wp14:sizeRelH relativeFrom="margin">
              <wp14:pctWidth>0</wp14:pctWidth>
            </wp14:sizeRelH>
            <wp14:sizeRelV relativeFrom="margin">
              <wp14:pctHeight>0</wp14:pctHeight>
            </wp14:sizeRelV>
          </wp:anchor>
        </w:drawing>
      </w:r>
      <w:r w:rsidR="004A7C5C">
        <w:rPr>
          <w:noProof/>
          <w:lang w:val="en-CA" w:eastAsia="en-CA"/>
        </w:rPr>
        <mc:AlternateContent>
          <mc:Choice Requires="wps">
            <w:drawing>
              <wp:anchor distT="0" distB="0" distL="114300" distR="114300" simplePos="0" relativeHeight="251658240" behindDoc="0" locked="0" layoutInCell="1" allowOverlap="1" wp14:anchorId="17CBB671" wp14:editId="3ADA3168">
                <wp:simplePos x="0" y="0"/>
                <wp:positionH relativeFrom="column">
                  <wp:posOffset>-314325</wp:posOffset>
                </wp:positionH>
                <wp:positionV relativeFrom="page">
                  <wp:posOffset>7134225</wp:posOffset>
                </wp:positionV>
                <wp:extent cx="5791200" cy="1171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9120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8CD18" w14:textId="2B290315" w:rsidR="00DD1587" w:rsidRPr="004A7C5C" w:rsidRDefault="00DD1587" w:rsidP="004A7C5C">
                            <w:pPr>
                              <w:spacing w:after="0"/>
                              <w:rPr>
                                <w:rFonts w:asciiTheme="minorHAnsi" w:hAnsiTheme="minorHAnsi" w:cstheme="minorHAnsi"/>
                                <w:b/>
                                <w:color w:val="008D7F"/>
                                <w:sz w:val="44"/>
                              </w:rPr>
                            </w:pPr>
                            <w:r w:rsidRPr="004A7C5C">
                              <w:rPr>
                                <w:rFonts w:asciiTheme="minorHAnsi" w:hAnsiTheme="minorHAnsi" w:cstheme="minorHAnsi"/>
                                <w:b/>
                                <w:color w:val="008D7F"/>
                                <w:sz w:val="44"/>
                              </w:rPr>
                              <w:t>SETTING THE STAGE FOR COLLECTIVE IMPACT</w:t>
                            </w:r>
                          </w:p>
                          <w:p w14:paraId="3A773EC0" w14:textId="43E15837" w:rsidR="00DD1587" w:rsidRPr="004A7C5C" w:rsidRDefault="00DD1587" w:rsidP="004A7C5C">
                            <w:pPr>
                              <w:spacing w:after="0"/>
                              <w:rPr>
                                <w:color w:val="008D7F"/>
                                <w:sz w:val="44"/>
                              </w:rPr>
                            </w:pPr>
                            <w:r w:rsidRPr="004A7C5C">
                              <w:rPr>
                                <w:sz w:val="44"/>
                              </w:rPr>
                              <w:t>Ontario Municipalities, Colleges and Universities in International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7CBB671" id="Text Box 5" o:spid="_x0000_s1027" type="#_x0000_t202" style="position:absolute;margin-left:-24.75pt;margin-top:561.75pt;width:456pt;height:92.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" filled="f" stroked="f" strokeweight=".5pt">
                <v:textbox>
                  <w:txbxContent>
                    <w:p w14:paraId="4D68CD18" w14:textId="2B290315" w:rsidR="00DD1587" w:rsidRPr="004A7C5C" w:rsidRDefault="00DD1587" w:rsidP="004A7C5C">
                      <w:pPr>
                        <w:spacing w:after="0"/>
                        <w:rPr>
                          <w:rFonts w:asciiTheme="minorHAnsi" w:hAnsiTheme="minorHAnsi" w:cstheme="minorHAnsi"/>
                          <w:b/>
                          <w:color w:val="008D7F"/>
                          <w:sz w:val="44"/>
                        </w:rPr>
                      </w:pPr>
                      <w:r w:rsidRPr="004A7C5C">
                        <w:rPr>
                          <w:rFonts w:asciiTheme="minorHAnsi" w:hAnsiTheme="minorHAnsi" w:cstheme="minorHAnsi"/>
                          <w:b/>
                          <w:color w:val="008D7F"/>
                          <w:sz w:val="44"/>
                        </w:rPr>
                        <w:t>SETTING THE STAGE FOR COLLECTIVE IMPACT</w:t>
                      </w:r>
                    </w:p>
                    <w:p w14:paraId="3A773EC0" w14:textId="43E15837" w:rsidR="00DD1587" w:rsidRPr="004A7C5C" w:rsidRDefault="00DD1587" w:rsidP="004A7C5C">
                      <w:pPr>
                        <w:spacing w:after="0"/>
                        <w:rPr>
                          <w:color w:val="008D7F"/>
                          <w:sz w:val="44"/>
                        </w:rPr>
                      </w:pPr>
                      <w:r w:rsidRPr="004A7C5C">
                        <w:rPr>
                          <w:sz w:val="44"/>
                        </w:rPr>
                        <w:t>Ontario Municipalities, Colleges and Universities in International Cooperation</w:t>
                      </w:r>
                    </w:p>
                  </w:txbxContent>
                </v:textbox>
                <w10:wrap anchory="page"/>
              </v:shape>
            </w:pict>
          </mc:Fallback>
        </mc:AlternateContent>
      </w:r>
      <w:r w:rsidR="00716DFE">
        <w:br w:type="page"/>
      </w:r>
    </w:p>
    <w:sdt>
      <w:sdtPr>
        <w:rPr>
          <w:rFonts w:asciiTheme="minorHAnsi" w:hAnsiTheme="minorHAnsi"/>
        </w:rPr>
        <w:id w:val="1980560126"/>
        <w:docPartObj>
          <w:docPartGallery w:val="Table of Contents"/>
          <w:docPartUnique/>
        </w:docPartObj>
      </w:sdtPr>
      <w:sdtEndPr>
        <w:rPr>
          <w:rFonts w:asciiTheme="majorHAnsi" w:hAnsiTheme="majorHAnsi"/>
          <w:b/>
          <w:bCs/>
          <w:noProof/>
        </w:rPr>
      </w:sdtEndPr>
      <w:sdtContent>
        <w:p w14:paraId="4E25838F" w14:textId="7D18B131" w:rsidR="00FA639E" w:rsidRPr="00CC7274" w:rsidRDefault="00FA639E" w:rsidP="00A67403">
          <w:pPr>
            <w:rPr>
              <w:rStyle w:val="Heading1Char"/>
            </w:rPr>
          </w:pPr>
          <w:r w:rsidRPr="00CC7274">
            <w:rPr>
              <w:rStyle w:val="Heading1Char"/>
            </w:rPr>
            <w:t>Contents</w:t>
          </w:r>
        </w:p>
        <w:p w14:paraId="61CC101F" w14:textId="77777777" w:rsidR="003E569A" w:rsidRDefault="00FA639E">
          <w:pPr>
            <w:pStyle w:val="TOC1"/>
            <w:tabs>
              <w:tab w:val="right" w:leader="dot" w:pos="9350"/>
            </w:tabs>
            <w:rPr>
              <w:rFonts w:asciiTheme="minorHAnsi" w:eastAsiaTheme="minorEastAsia" w:hAnsiTheme="minorHAnsi"/>
              <w:noProof/>
              <w:sz w:val="24"/>
              <w:szCs w:val="24"/>
              <w:lang w:val="en-US"/>
            </w:rPr>
          </w:pPr>
          <w:r>
            <w:fldChar w:fldCharType="begin"/>
          </w:r>
          <w:r>
            <w:instrText xml:space="preserve"> TOC \o "1-3" \h \z \u </w:instrText>
          </w:r>
          <w:r>
            <w:fldChar w:fldCharType="separate"/>
          </w:r>
          <w:hyperlink w:anchor="_Toc467163275" w:history="1">
            <w:r w:rsidR="003E569A" w:rsidRPr="006A6DA4">
              <w:rPr>
                <w:rStyle w:val="Hyperlink"/>
                <w:noProof/>
              </w:rPr>
              <w:t>Executive Summary</w:t>
            </w:r>
            <w:r w:rsidR="003E569A">
              <w:rPr>
                <w:noProof/>
                <w:webHidden/>
              </w:rPr>
              <w:tab/>
            </w:r>
            <w:r w:rsidR="003E569A">
              <w:rPr>
                <w:noProof/>
                <w:webHidden/>
              </w:rPr>
              <w:fldChar w:fldCharType="begin"/>
            </w:r>
            <w:r w:rsidR="003E569A">
              <w:rPr>
                <w:noProof/>
                <w:webHidden/>
              </w:rPr>
              <w:instrText xml:space="preserve"> PAGEREF _Toc467163275 \h </w:instrText>
            </w:r>
            <w:r w:rsidR="003E569A">
              <w:rPr>
                <w:noProof/>
                <w:webHidden/>
              </w:rPr>
            </w:r>
            <w:r w:rsidR="003E569A">
              <w:rPr>
                <w:noProof/>
                <w:webHidden/>
              </w:rPr>
              <w:fldChar w:fldCharType="separate"/>
            </w:r>
            <w:r w:rsidR="003E569A">
              <w:rPr>
                <w:noProof/>
                <w:webHidden/>
              </w:rPr>
              <w:t>2</w:t>
            </w:r>
            <w:r w:rsidR="003E569A">
              <w:rPr>
                <w:noProof/>
                <w:webHidden/>
              </w:rPr>
              <w:fldChar w:fldCharType="end"/>
            </w:r>
          </w:hyperlink>
        </w:p>
        <w:p w14:paraId="6C936FFE" w14:textId="77777777" w:rsidR="003E569A" w:rsidRDefault="00255F7B">
          <w:pPr>
            <w:pStyle w:val="TOC1"/>
            <w:tabs>
              <w:tab w:val="right" w:leader="dot" w:pos="9350"/>
            </w:tabs>
            <w:rPr>
              <w:rFonts w:asciiTheme="minorHAnsi" w:eastAsiaTheme="minorEastAsia" w:hAnsiTheme="minorHAnsi"/>
              <w:noProof/>
              <w:sz w:val="24"/>
              <w:szCs w:val="24"/>
              <w:lang w:val="en-US"/>
            </w:rPr>
          </w:pPr>
          <w:hyperlink w:anchor="_Toc467163276" w:history="1">
            <w:r w:rsidR="003E569A" w:rsidRPr="006A6DA4">
              <w:rPr>
                <w:rStyle w:val="Hyperlink"/>
                <w:noProof/>
              </w:rPr>
              <w:t>Introduction</w:t>
            </w:r>
            <w:r w:rsidR="003E569A">
              <w:rPr>
                <w:noProof/>
                <w:webHidden/>
              </w:rPr>
              <w:tab/>
            </w:r>
            <w:r w:rsidR="003E569A">
              <w:rPr>
                <w:noProof/>
                <w:webHidden/>
              </w:rPr>
              <w:fldChar w:fldCharType="begin"/>
            </w:r>
            <w:r w:rsidR="003E569A">
              <w:rPr>
                <w:noProof/>
                <w:webHidden/>
              </w:rPr>
              <w:instrText xml:space="preserve"> PAGEREF _Toc467163276 \h </w:instrText>
            </w:r>
            <w:r w:rsidR="003E569A">
              <w:rPr>
                <w:noProof/>
                <w:webHidden/>
              </w:rPr>
            </w:r>
            <w:r w:rsidR="003E569A">
              <w:rPr>
                <w:noProof/>
                <w:webHidden/>
              </w:rPr>
              <w:fldChar w:fldCharType="separate"/>
            </w:r>
            <w:r w:rsidR="003E569A">
              <w:rPr>
                <w:noProof/>
                <w:webHidden/>
              </w:rPr>
              <w:t>4</w:t>
            </w:r>
            <w:r w:rsidR="003E569A">
              <w:rPr>
                <w:noProof/>
                <w:webHidden/>
              </w:rPr>
              <w:fldChar w:fldCharType="end"/>
            </w:r>
          </w:hyperlink>
        </w:p>
        <w:p w14:paraId="6F3C5157" w14:textId="77777777" w:rsidR="003E569A" w:rsidRDefault="00255F7B">
          <w:pPr>
            <w:pStyle w:val="TOC1"/>
            <w:tabs>
              <w:tab w:val="right" w:leader="dot" w:pos="9350"/>
            </w:tabs>
            <w:rPr>
              <w:rFonts w:asciiTheme="minorHAnsi" w:eastAsiaTheme="minorEastAsia" w:hAnsiTheme="minorHAnsi"/>
              <w:noProof/>
              <w:sz w:val="24"/>
              <w:szCs w:val="24"/>
              <w:lang w:val="en-US"/>
            </w:rPr>
          </w:pPr>
          <w:hyperlink w:anchor="_Toc467163277" w:history="1">
            <w:r w:rsidR="003E569A" w:rsidRPr="006A6DA4">
              <w:rPr>
                <w:rStyle w:val="Hyperlink"/>
                <w:noProof/>
              </w:rPr>
              <w:t>Methodology</w:t>
            </w:r>
            <w:r w:rsidR="003E569A">
              <w:rPr>
                <w:noProof/>
                <w:webHidden/>
              </w:rPr>
              <w:tab/>
            </w:r>
            <w:r w:rsidR="003E569A">
              <w:rPr>
                <w:noProof/>
                <w:webHidden/>
              </w:rPr>
              <w:fldChar w:fldCharType="begin"/>
            </w:r>
            <w:r w:rsidR="003E569A">
              <w:rPr>
                <w:noProof/>
                <w:webHidden/>
              </w:rPr>
              <w:instrText xml:space="preserve"> PAGEREF _Toc467163277 \h </w:instrText>
            </w:r>
            <w:r w:rsidR="003E569A">
              <w:rPr>
                <w:noProof/>
                <w:webHidden/>
              </w:rPr>
            </w:r>
            <w:r w:rsidR="003E569A">
              <w:rPr>
                <w:noProof/>
                <w:webHidden/>
              </w:rPr>
              <w:fldChar w:fldCharType="separate"/>
            </w:r>
            <w:r w:rsidR="003E569A">
              <w:rPr>
                <w:noProof/>
                <w:webHidden/>
              </w:rPr>
              <w:t>5</w:t>
            </w:r>
            <w:r w:rsidR="003E569A">
              <w:rPr>
                <w:noProof/>
                <w:webHidden/>
              </w:rPr>
              <w:fldChar w:fldCharType="end"/>
            </w:r>
          </w:hyperlink>
        </w:p>
        <w:p w14:paraId="7809705C"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78" w:history="1">
            <w:r w:rsidR="003E569A" w:rsidRPr="006A6DA4">
              <w:rPr>
                <w:rStyle w:val="Hyperlink"/>
                <w:noProof/>
              </w:rPr>
              <w:t>Approach</w:t>
            </w:r>
            <w:r w:rsidR="003E569A">
              <w:rPr>
                <w:noProof/>
                <w:webHidden/>
              </w:rPr>
              <w:tab/>
            </w:r>
            <w:r w:rsidR="003E569A">
              <w:rPr>
                <w:noProof/>
                <w:webHidden/>
              </w:rPr>
              <w:fldChar w:fldCharType="begin"/>
            </w:r>
            <w:r w:rsidR="003E569A">
              <w:rPr>
                <w:noProof/>
                <w:webHidden/>
              </w:rPr>
              <w:instrText xml:space="preserve"> PAGEREF _Toc467163278 \h </w:instrText>
            </w:r>
            <w:r w:rsidR="003E569A">
              <w:rPr>
                <w:noProof/>
                <w:webHidden/>
              </w:rPr>
            </w:r>
            <w:r w:rsidR="003E569A">
              <w:rPr>
                <w:noProof/>
                <w:webHidden/>
              </w:rPr>
              <w:fldChar w:fldCharType="separate"/>
            </w:r>
            <w:r w:rsidR="003E569A">
              <w:rPr>
                <w:noProof/>
                <w:webHidden/>
              </w:rPr>
              <w:t>5</w:t>
            </w:r>
            <w:r w:rsidR="003E569A">
              <w:rPr>
                <w:noProof/>
                <w:webHidden/>
              </w:rPr>
              <w:fldChar w:fldCharType="end"/>
            </w:r>
          </w:hyperlink>
        </w:p>
        <w:p w14:paraId="1D288012"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79" w:history="1">
            <w:r w:rsidR="003E569A" w:rsidRPr="006A6DA4">
              <w:rPr>
                <w:rStyle w:val="Hyperlink"/>
                <w:noProof/>
              </w:rPr>
              <w:t>Sample of MCUs</w:t>
            </w:r>
            <w:r w:rsidR="003E569A">
              <w:rPr>
                <w:noProof/>
                <w:webHidden/>
              </w:rPr>
              <w:tab/>
            </w:r>
            <w:r w:rsidR="003E569A">
              <w:rPr>
                <w:noProof/>
                <w:webHidden/>
              </w:rPr>
              <w:fldChar w:fldCharType="begin"/>
            </w:r>
            <w:r w:rsidR="003E569A">
              <w:rPr>
                <w:noProof/>
                <w:webHidden/>
              </w:rPr>
              <w:instrText xml:space="preserve"> PAGEREF _Toc467163279 \h </w:instrText>
            </w:r>
            <w:r w:rsidR="003E569A">
              <w:rPr>
                <w:noProof/>
                <w:webHidden/>
              </w:rPr>
            </w:r>
            <w:r w:rsidR="003E569A">
              <w:rPr>
                <w:noProof/>
                <w:webHidden/>
              </w:rPr>
              <w:fldChar w:fldCharType="separate"/>
            </w:r>
            <w:r w:rsidR="003E569A">
              <w:rPr>
                <w:noProof/>
                <w:webHidden/>
              </w:rPr>
              <w:t>5</w:t>
            </w:r>
            <w:r w:rsidR="003E569A">
              <w:rPr>
                <w:noProof/>
                <w:webHidden/>
              </w:rPr>
              <w:fldChar w:fldCharType="end"/>
            </w:r>
          </w:hyperlink>
        </w:p>
        <w:p w14:paraId="35C5F5C0"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80" w:history="1">
            <w:r w:rsidR="003E569A" w:rsidRPr="006A6DA4">
              <w:rPr>
                <w:rStyle w:val="Hyperlink"/>
                <w:noProof/>
              </w:rPr>
              <w:t>Data Collected</w:t>
            </w:r>
            <w:r w:rsidR="003E569A">
              <w:rPr>
                <w:noProof/>
                <w:webHidden/>
              </w:rPr>
              <w:tab/>
            </w:r>
            <w:r w:rsidR="003E569A">
              <w:rPr>
                <w:noProof/>
                <w:webHidden/>
              </w:rPr>
              <w:fldChar w:fldCharType="begin"/>
            </w:r>
            <w:r w:rsidR="003E569A">
              <w:rPr>
                <w:noProof/>
                <w:webHidden/>
              </w:rPr>
              <w:instrText xml:space="preserve"> PAGEREF _Toc467163280 \h </w:instrText>
            </w:r>
            <w:r w:rsidR="003E569A">
              <w:rPr>
                <w:noProof/>
                <w:webHidden/>
              </w:rPr>
            </w:r>
            <w:r w:rsidR="003E569A">
              <w:rPr>
                <w:noProof/>
                <w:webHidden/>
              </w:rPr>
              <w:fldChar w:fldCharType="separate"/>
            </w:r>
            <w:r w:rsidR="003E569A">
              <w:rPr>
                <w:noProof/>
                <w:webHidden/>
              </w:rPr>
              <w:t>7</w:t>
            </w:r>
            <w:r w:rsidR="003E569A">
              <w:rPr>
                <w:noProof/>
                <w:webHidden/>
              </w:rPr>
              <w:fldChar w:fldCharType="end"/>
            </w:r>
          </w:hyperlink>
        </w:p>
        <w:p w14:paraId="06719DF8"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81" w:history="1">
            <w:r w:rsidR="003E569A" w:rsidRPr="006A6DA4">
              <w:rPr>
                <w:rStyle w:val="Hyperlink"/>
                <w:noProof/>
              </w:rPr>
              <w:t>Limitations</w:t>
            </w:r>
            <w:r w:rsidR="003E569A">
              <w:rPr>
                <w:noProof/>
                <w:webHidden/>
              </w:rPr>
              <w:tab/>
            </w:r>
            <w:r w:rsidR="003E569A">
              <w:rPr>
                <w:noProof/>
                <w:webHidden/>
              </w:rPr>
              <w:fldChar w:fldCharType="begin"/>
            </w:r>
            <w:r w:rsidR="003E569A">
              <w:rPr>
                <w:noProof/>
                <w:webHidden/>
              </w:rPr>
              <w:instrText xml:space="preserve"> PAGEREF _Toc467163281 \h </w:instrText>
            </w:r>
            <w:r w:rsidR="003E569A">
              <w:rPr>
                <w:noProof/>
                <w:webHidden/>
              </w:rPr>
            </w:r>
            <w:r w:rsidR="003E569A">
              <w:rPr>
                <w:noProof/>
                <w:webHidden/>
              </w:rPr>
              <w:fldChar w:fldCharType="separate"/>
            </w:r>
            <w:r w:rsidR="003E569A">
              <w:rPr>
                <w:noProof/>
                <w:webHidden/>
              </w:rPr>
              <w:t>9</w:t>
            </w:r>
            <w:r w:rsidR="003E569A">
              <w:rPr>
                <w:noProof/>
                <w:webHidden/>
              </w:rPr>
              <w:fldChar w:fldCharType="end"/>
            </w:r>
          </w:hyperlink>
        </w:p>
        <w:p w14:paraId="4FC5F70E" w14:textId="77777777" w:rsidR="003E569A" w:rsidRDefault="00255F7B">
          <w:pPr>
            <w:pStyle w:val="TOC1"/>
            <w:tabs>
              <w:tab w:val="right" w:leader="dot" w:pos="9350"/>
            </w:tabs>
            <w:rPr>
              <w:rFonts w:asciiTheme="minorHAnsi" w:eastAsiaTheme="minorEastAsia" w:hAnsiTheme="minorHAnsi"/>
              <w:noProof/>
              <w:sz w:val="24"/>
              <w:szCs w:val="24"/>
              <w:lang w:val="en-US"/>
            </w:rPr>
          </w:pPr>
          <w:hyperlink w:anchor="_Toc467163282" w:history="1">
            <w:r w:rsidR="003E569A" w:rsidRPr="006A6DA4">
              <w:rPr>
                <w:rStyle w:val="Hyperlink"/>
                <w:noProof/>
              </w:rPr>
              <w:t>Key Findings</w:t>
            </w:r>
            <w:r w:rsidR="003E569A">
              <w:rPr>
                <w:noProof/>
                <w:webHidden/>
              </w:rPr>
              <w:tab/>
            </w:r>
            <w:r w:rsidR="003E569A">
              <w:rPr>
                <w:noProof/>
                <w:webHidden/>
              </w:rPr>
              <w:fldChar w:fldCharType="begin"/>
            </w:r>
            <w:r w:rsidR="003E569A">
              <w:rPr>
                <w:noProof/>
                <w:webHidden/>
              </w:rPr>
              <w:instrText xml:space="preserve"> PAGEREF _Toc467163282 \h </w:instrText>
            </w:r>
            <w:r w:rsidR="003E569A">
              <w:rPr>
                <w:noProof/>
                <w:webHidden/>
              </w:rPr>
            </w:r>
            <w:r w:rsidR="003E569A">
              <w:rPr>
                <w:noProof/>
                <w:webHidden/>
              </w:rPr>
              <w:fldChar w:fldCharType="separate"/>
            </w:r>
            <w:r w:rsidR="003E569A">
              <w:rPr>
                <w:noProof/>
                <w:webHidden/>
              </w:rPr>
              <w:t>9</w:t>
            </w:r>
            <w:r w:rsidR="003E569A">
              <w:rPr>
                <w:noProof/>
                <w:webHidden/>
              </w:rPr>
              <w:fldChar w:fldCharType="end"/>
            </w:r>
          </w:hyperlink>
        </w:p>
        <w:p w14:paraId="78A3A442"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83" w:history="1">
            <w:r w:rsidR="003E569A" w:rsidRPr="006A6DA4">
              <w:rPr>
                <w:rStyle w:val="Hyperlink"/>
                <w:noProof/>
              </w:rPr>
              <w:t>Municipalities</w:t>
            </w:r>
            <w:r w:rsidR="003E569A">
              <w:rPr>
                <w:noProof/>
                <w:webHidden/>
              </w:rPr>
              <w:tab/>
            </w:r>
            <w:r w:rsidR="003E569A">
              <w:rPr>
                <w:noProof/>
                <w:webHidden/>
              </w:rPr>
              <w:fldChar w:fldCharType="begin"/>
            </w:r>
            <w:r w:rsidR="003E569A">
              <w:rPr>
                <w:noProof/>
                <w:webHidden/>
              </w:rPr>
              <w:instrText xml:space="preserve"> PAGEREF _Toc467163283 \h </w:instrText>
            </w:r>
            <w:r w:rsidR="003E569A">
              <w:rPr>
                <w:noProof/>
                <w:webHidden/>
              </w:rPr>
            </w:r>
            <w:r w:rsidR="003E569A">
              <w:rPr>
                <w:noProof/>
                <w:webHidden/>
              </w:rPr>
              <w:fldChar w:fldCharType="separate"/>
            </w:r>
            <w:r w:rsidR="003E569A">
              <w:rPr>
                <w:noProof/>
                <w:webHidden/>
              </w:rPr>
              <w:t>9</w:t>
            </w:r>
            <w:r w:rsidR="003E569A">
              <w:rPr>
                <w:noProof/>
                <w:webHidden/>
              </w:rPr>
              <w:fldChar w:fldCharType="end"/>
            </w:r>
          </w:hyperlink>
        </w:p>
        <w:p w14:paraId="38E15F74"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84" w:history="1">
            <w:r w:rsidR="003E569A" w:rsidRPr="006A6DA4">
              <w:rPr>
                <w:rStyle w:val="Hyperlink"/>
                <w:noProof/>
              </w:rPr>
              <w:t>Linkages to the SDGs</w:t>
            </w:r>
            <w:r w:rsidR="003E569A">
              <w:rPr>
                <w:noProof/>
                <w:webHidden/>
              </w:rPr>
              <w:tab/>
            </w:r>
            <w:r w:rsidR="003E569A">
              <w:rPr>
                <w:noProof/>
                <w:webHidden/>
              </w:rPr>
              <w:fldChar w:fldCharType="begin"/>
            </w:r>
            <w:r w:rsidR="003E569A">
              <w:rPr>
                <w:noProof/>
                <w:webHidden/>
              </w:rPr>
              <w:instrText xml:space="preserve"> PAGEREF _Toc467163284 \h </w:instrText>
            </w:r>
            <w:r w:rsidR="003E569A">
              <w:rPr>
                <w:noProof/>
                <w:webHidden/>
              </w:rPr>
            </w:r>
            <w:r w:rsidR="003E569A">
              <w:rPr>
                <w:noProof/>
                <w:webHidden/>
              </w:rPr>
              <w:fldChar w:fldCharType="separate"/>
            </w:r>
            <w:r w:rsidR="003E569A">
              <w:rPr>
                <w:noProof/>
                <w:webHidden/>
              </w:rPr>
              <w:t>9</w:t>
            </w:r>
            <w:r w:rsidR="003E569A">
              <w:rPr>
                <w:noProof/>
                <w:webHidden/>
              </w:rPr>
              <w:fldChar w:fldCharType="end"/>
            </w:r>
          </w:hyperlink>
        </w:p>
        <w:p w14:paraId="3917B923"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85" w:history="1">
            <w:r w:rsidR="003E569A" w:rsidRPr="006A6DA4">
              <w:rPr>
                <w:rStyle w:val="Hyperlink"/>
                <w:noProof/>
              </w:rPr>
              <w:t>International Cooperation Activities</w:t>
            </w:r>
            <w:r w:rsidR="003E569A">
              <w:rPr>
                <w:noProof/>
                <w:webHidden/>
              </w:rPr>
              <w:tab/>
            </w:r>
            <w:r w:rsidR="003E569A">
              <w:rPr>
                <w:noProof/>
                <w:webHidden/>
              </w:rPr>
              <w:fldChar w:fldCharType="begin"/>
            </w:r>
            <w:r w:rsidR="003E569A">
              <w:rPr>
                <w:noProof/>
                <w:webHidden/>
              </w:rPr>
              <w:instrText xml:space="preserve"> PAGEREF _Toc467163285 \h </w:instrText>
            </w:r>
            <w:r w:rsidR="003E569A">
              <w:rPr>
                <w:noProof/>
                <w:webHidden/>
              </w:rPr>
            </w:r>
            <w:r w:rsidR="003E569A">
              <w:rPr>
                <w:noProof/>
                <w:webHidden/>
              </w:rPr>
              <w:fldChar w:fldCharType="separate"/>
            </w:r>
            <w:r w:rsidR="003E569A">
              <w:rPr>
                <w:noProof/>
                <w:webHidden/>
              </w:rPr>
              <w:t>11</w:t>
            </w:r>
            <w:r w:rsidR="003E569A">
              <w:rPr>
                <w:noProof/>
                <w:webHidden/>
              </w:rPr>
              <w:fldChar w:fldCharType="end"/>
            </w:r>
          </w:hyperlink>
        </w:p>
        <w:p w14:paraId="5E263EF1"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86" w:history="1">
            <w:r w:rsidR="003E569A" w:rsidRPr="006A6DA4">
              <w:rPr>
                <w:rStyle w:val="Hyperlink"/>
                <w:noProof/>
              </w:rPr>
              <w:t>Relations with Indigenous Peoples</w:t>
            </w:r>
            <w:r w:rsidR="003E569A">
              <w:rPr>
                <w:noProof/>
                <w:webHidden/>
              </w:rPr>
              <w:tab/>
            </w:r>
            <w:r w:rsidR="003E569A">
              <w:rPr>
                <w:noProof/>
                <w:webHidden/>
              </w:rPr>
              <w:fldChar w:fldCharType="begin"/>
            </w:r>
            <w:r w:rsidR="003E569A">
              <w:rPr>
                <w:noProof/>
                <w:webHidden/>
              </w:rPr>
              <w:instrText xml:space="preserve"> PAGEREF _Toc467163286 \h </w:instrText>
            </w:r>
            <w:r w:rsidR="003E569A">
              <w:rPr>
                <w:noProof/>
                <w:webHidden/>
              </w:rPr>
            </w:r>
            <w:r w:rsidR="003E569A">
              <w:rPr>
                <w:noProof/>
                <w:webHidden/>
              </w:rPr>
              <w:fldChar w:fldCharType="separate"/>
            </w:r>
            <w:r w:rsidR="003E569A">
              <w:rPr>
                <w:noProof/>
                <w:webHidden/>
              </w:rPr>
              <w:t>12</w:t>
            </w:r>
            <w:r w:rsidR="003E569A">
              <w:rPr>
                <w:noProof/>
                <w:webHidden/>
              </w:rPr>
              <w:fldChar w:fldCharType="end"/>
            </w:r>
          </w:hyperlink>
        </w:p>
        <w:p w14:paraId="7C498B79"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87" w:history="1">
            <w:r w:rsidR="003E569A" w:rsidRPr="006A6DA4">
              <w:rPr>
                <w:rStyle w:val="Hyperlink"/>
                <w:noProof/>
              </w:rPr>
              <w:t>Colleges and Universities</w:t>
            </w:r>
            <w:r w:rsidR="003E569A">
              <w:rPr>
                <w:noProof/>
                <w:webHidden/>
              </w:rPr>
              <w:tab/>
            </w:r>
            <w:r w:rsidR="003E569A">
              <w:rPr>
                <w:noProof/>
                <w:webHidden/>
              </w:rPr>
              <w:fldChar w:fldCharType="begin"/>
            </w:r>
            <w:r w:rsidR="003E569A">
              <w:rPr>
                <w:noProof/>
                <w:webHidden/>
              </w:rPr>
              <w:instrText xml:space="preserve"> PAGEREF _Toc467163287 \h </w:instrText>
            </w:r>
            <w:r w:rsidR="003E569A">
              <w:rPr>
                <w:noProof/>
                <w:webHidden/>
              </w:rPr>
            </w:r>
            <w:r w:rsidR="003E569A">
              <w:rPr>
                <w:noProof/>
                <w:webHidden/>
              </w:rPr>
              <w:fldChar w:fldCharType="separate"/>
            </w:r>
            <w:r w:rsidR="003E569A">
              <w:rPr>
                <w:noProof/>
                <w:webHidden/>
              </w:rPr>
              <w:t>12</w:t>
            </w:r>
            <w:r w:rsidR="003E569A">
              <w:rPr>
                <w:noProof/>
                <w:webHidden/>
              </w:rPr>
              <w:fldChar w:fldCharType="end"/>
            </w:r>
          </w:hyperlink>
        </w:p>
        <w:p w14:paraId="2C789EB0"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88" w:history="1">
            <w:r w:rsidR="003E569A" w:rsidRPr="006A6DA4">
              <w:rPr>
                <w:rStyle w:val="Hyperlink"/>
                <w:noProof/>
              </w:rPr>
              <w:t>Linkages to the SDGs</w:t>
            </w:r>
            <w:r w:rsidR="003E569A">
              <w:rPr>
                <w:noProof/>
                <w:webHidden/>
              </w:rPr>
              <w:tab/>
            </w:r>
            <w:r w:rsidR="003E569A">
              <w:rPr>
                <w:noProof/>
                <w:webHidden/>
              </w:rPr>
              <w:fldChar w:fldCharType="begin"/>
            </w:r>
            <w:r w:rsidR="003E569A">
              <w:rPr>
                <w:noProof/>
                <w:webHidden/>
              </w:rPr>
              <w:instrText xml:space="preserve"> PAGEREF _Toc467163288 \h </w:instrText>
            </w:r>
            <w:r w:rsidR="003E569A">
              <w:rPr>
                <w:noProof/>
                <w:webHidden/>
              </w:rPr>
            </w:r>
            <w:r w:rsidR="003E569A">
              <w:rPr>
                <w:noProof/>
                <w:webHidden/>
              </w:rPr>
              <w:fldChar w:fldCharType="separate"/>
            </w:r>
            <w:r w:rsidR="003E569A">
              <w:rPr>
                <w:noProof/>
                <w:webHidden/>
              </w:rPr>
              <w:t>12</w:t>
            </w:r>
            <w:r w:rsidR="003E569A">
              <w:rPr>
                <w:noProof/>
                <w:webHidden/>
              </w:rPr>
              <w:fldChar w:fldCharType="end"/>
            </w:r>
          </w:hyperlink>
        </w:p>
        <w:p w14:paraId="2A6C97FC"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89" w:history="1">
            <w:r w:rsidR="003E569A" w:rsidRPr="006A6DA4">
              <w:rPr>
                <w:rStyle w:val="Hyperlink"/>
                <w:noProof/>
              </w:rPr>
              <w:t>International Cooperation Activities</w:t>
            </w:r>
            <w:r w:rsidR="003E569A">
              <w:rPr>
                <w:noProof/>
                <w:webHidden/>
              </w:rPr>
              <w:tab/>
            </w:r>
            <w:r w:rsidR="003E569A">
              <w:rPr>
                <w:noProof/>
                <w:webHidden/>
              </w:rPr>
              <w:fldChar w:fldCharType="begin"/>
            </w:r>
            <w:r w:rsidR="003E569A">
              <w:rPr>
                <w:noProof/>
                <w:webHidden/>
              </w:rPr>
              <w:instrText xml:space="preserve"> PAGEREF _Toc467163289 \h </w:instrText>
            </w:r>
            <w:r w:rsidR="003E569A">
              <w:rPr>
                <w:noProof/>
                <w:webHidden/>
              </w:rPr>
            </w:r>
            <w:r w:rsidR="003E569A">
              <w:rPr>
                <w:noProof/>
                <w:webHidden/>
              </w:rPr>
              <w:fldChar w:fldCharType="separate"/>
            </w:r>
            <w:r w:rsidR="003E569A">
              <w:rPr>
                <w:noProof/>
                <w:webHidden/>
              </w:rPr>
              <w:t>13</w:t>
            </w:r>
            <w:r w:rsidR="003E569A">
              <w:rPr>
                <w:noProof/>
                <w:webHidden/>
              </w:rPr>
              <w:fldChar w:fldCharType="end"/>
            </w:r>
          </w:hyperlink>
        </w:p>
        <w:p w14:paraId="230F746B" w14:textId="77777777" w:rsidR="003E569A" w:rsidRDefault="00255F7B">
          <w:pPr>
            <w:pStyle w:val="TOC3"/>
            <w:tabs>
              <w:tab w:val="right" w:leader="dot" w:pos="9350"/>
            </w:tabs>
            <w:rPr>
              <w:rFonts w:asciiTheme="minorHAnsi" w:eastAsiaTheme="minorEastAsia" w:hAnsiTheme="minorHAnsi"/>
              <w:noProof/>
              <w:sz w:val="24"/>
              <w:szCs w:val="24"/>
              <w:lang w:val="en-US"/>
            </w:rPr>
          </w:pPr>
          <w:hyperlink w:anchor="_Toc467163290" w:history="1">
            <w:r w:rsidR="003E569A" w:rsidRPr="006A6DA4">
              <w:rPr>
                <w:rStyle w:val="Hyperlink"/>
                <w:noProof/>
              </w:rPr>
              <w:t>Opportunities for Engagement: College and University Strategic Plans</w:t>
            </w:r>
            <w:r w:rsidR="003E569A">
              <w:rPr>
                <w:noProof/>
                <w:webHidden/>
              </w:rPr>
              <w:tab/>
            </w:r>
            <w:r w:rsidR="003E569A">
              <w:rPr>
                <w:noProof/>
                <w:webHidden/>
              </w:rPr>
              <w:fldChar w:fldCharType="begin"/>
            </w:r>
            <w:r w:rsidR="003E569A">
              <w:rPr>
                <w:noProof/>
                <w:webHidden/>
              </w:rPr>
              <w:instrText xml:space="preserve"> PAGEREF _Toc467163290 \h </w:instrText>
            </w:r>
            <w:r w:rsidR="003E569A">
              <w:rPr>
                <w:noProof/>
                <w:webHidden/>
              </w:rPr>
            </w:r>
            <w:r w:rsidR="003E569A">
              <w:rPr>
                <w:noProof/>
                <w:webHidden/>
              </w:rPr>
              <w:fldChar w:fldCharType="separate"/>
            </w:r>
            <w:r w:rsidR="003E569A">
              <w:rPr>
                <w:noProof/>
                <w:webHidden/>
              </w:rPr>
              <w:t>14</w:t>
            </w:r>
            <w:r w:rsidR="003E569A">
              <w:rPr>
                <w:noProof/>
                <w:webHidden/>
              </w:rPr>
              <w:fldChar w:fldCharType="end"/>
            </w:r>
          </w:hyperlink>
        </w:p>
        <w:p w14:paraId="22F1E67E" w14:textId="77777777" w:rsidR="003E569A" w:rsidRDefault="00255F7B">
          <w:pPr>
            <w:pStyle w:val="TOC1"/>
            <w:tabs>
              <w:tab w:val="right" w:leader="dot" w:pos="9350"/>
            </w:tabs>
            <w:rPr>
              <w:rFonts w:asciiTheme="minorHAnsi" w:eastAsiaTheme="minorEastAsia" w:hAnsiTheme="minorHAnsi"/>
              <w:noProof/>
              <w:sz w:val="24"/>
              <w:szCs w:val="24"/>
              <w:lang w:val="en-US"/>
            </w:rPr>
          </w:pPr>
          <w:hyperlink w:anchor="_Toc467163291" w:history="1">
            <w:r w:rsidR="003E569A" w:rsidRPr="006A6DA4">
              <w:rPr>
                <w:rStyle w:val="Hyperlink"/>
                <w:noProof/>
              </w:rPr>
              <w:t>Opportunities for Collective Impact</w:t>
            </w:r>
            <w:r w:rsidR="003E569A">
              <w:rPr>
                <w:noProof/>
                <w:webHidden/>
              </w:rPr>
              <w:tab/>
            </w:r>
            <w:r w:rsidR="003E569A">
              <w:rPr>
                <w:noProof/>
                <w:webHidden/>
              </w:rPr>
              <w:fldChar w:fldCharType="begin"/>
            </w:r>
            <w:r w:rsidR="003E569A">
              <w:rPr>
                <w:noProof/>
                <w:webHidden/>
              </w:rPr>
              <w:instrText xml:space="preserve"> PAGEREF _Toc467163291 \h </w:instrText>
            </w:r>
            <w:r w:rsidR="003E569A">
              <w:rPr>
                <w:noProof/>
                <w:webHidden/>
              </w:rPr>
            </w:r>
            <w:r w:rsidR="003E569A">
              <w:rPr>
                <w:noProof/>
                <w:webHidden/>
              </w:rPr>
              <w:fldChar w:fldCharType="separate"/>
            </w:r>
            <w:r w:rsidR="003E569A">
              <w:rPr>
                <w:noProof/>
                <w:webHidden/>
              </w:rPr>
              <w:t>17</w:t>
            </w:r>
            <w:r w:rsidR="003E569A">
              <w:rPr>
                <w:noProof/>
                <w:webHidden/>
              </w:rPr>
              <w:fldChar w:fldCharType="end"/>
            </w:r>
          </w:hyperlink>
        </w:p>
        <w:p w14:paraId="35243D66"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92" w:history="1">
            <w:r w:rsidR="003E569A" w:rsidRPr="006A6DA4">
              <w:rPr>
                <w:rStyle w:val="Hyperlink"/>
                <w:noProof/>
              </w:rPr>
              <w:t>Municipalities</w:t>
            </w:r>
            <w:r w:rsidR="003E569A">
              <w:rPr>
                <w:noProof/>
                <w:webHidden/>
              </w:rPr>
              <w:tab/>
            </w:r>
            <w:r w:rsidR="003E569A">
              <w:rPr>
                <w:noProof/>
                <w:webHidden/>
              </w:rPr>
              <w:fldChar w:fldCharType="begin"/>
            </w:r>
            <w:r w:rsidR="003E569A">
              <w:rPr>
                <w:noProof/>
                <w:webHidden/>
              </w:rPr>
              <w:instrText xml:space="preserve"> PAGEREF _Toc467163292 \h </w:instrText>
            </w:r>
            <w:r w:rsidR="003E569A">
              <w:rPr>
                <w:noProof/>
                <w:webHidden/>
              </w:rPr>
            </w:r>
            <w:r w:rsidR="003E569A">
              <w:rPr>
                <w:noProof/>
                <w:webHidden/>
              </w:rPr>
              <w:fldChar w:fldCharType="separate"/>
            </w:r>
            <w:r w:rsidR="003E569A">
              <w:rPr>
                <w:noProof/>
                <w:webHidden/>
              </w:rPr>
              <w:t>17</w:t>
            </w:r>
            <w:r w:rsidR="003E569A">
              <w:rPr>
                <w:noProof/>
                <w:webHidden/>
              </w:rPr>
              <w:fldChar w:fldCharType="end"/>
            </w:r>
          </w:hyperlink>
        </w:p>
        <w:p w14:paraId="4A5452C9" w14:textId="77777777" w:rsidR="003E569A" w:rsidRDefault="00255F7B">
          <w:pPr>
            <w:pStyle w:val="TOC2"/>
            <w:tabs>
              <w:tab w:val="right" w:leader="dot" w:pos="9350"/>
            </w:tabs>
            <w:rPr>
              <w:rFonts w:asciiTheme="minorHAnsi" w:eastAsiaTheme="minorEastAsia" w:hAnsiTheme="minorHAnsi"/>
              <w:noProof/>
              <w:sz w:val="24"/>
              <w:szCs w:val="24"/>
              <w:lang w:val="en-US"/>
            </w:rPr>
          </w:pPr>
          <w:hyperlink w:anchor="_Toc467163293" w:history="1">
            <w:r w:rsidR="003E569A" w:rsidRPr="006A6DA4">
              <w:rPr>
                <w:rStyle w:val="Hyperlink"/>
                <w:noProof/>
              </w:rPr>
              <w:t>Colleges and Universities</w:t>
            </w:r>
            <w:r w:rsidR="003E569A">
              <w:rPr>
                <w:noProof/>
                <w:webHidden/>
              </w:rPr>
              <w:tab/>
            </w:r>
            <w:r w:rsidR="003E569A">
              <w:rPr>
                <w:noProof/>
                <w:webHidden/>
              </w:rPr>
              <w:fldChar w:fldCharType="begin"/>
            </w:r>
            <w:r w:rsidR="003E569A">
              <w:rPr>
                <w:noProof/>
                <w:webHidden/>
              </w:rPr>
              <w:instrText xml:space="preserve"> PAGEREF _Toc467163293 \h </w:instrText>
            </w:r>
            <w:r w:rsidR="003E569A">
              <w:rPr>
                <w:noProof/>
                <w:webHidden/>
              </w:rPr>
            </w:r>
            <w:r w:rsidR="003E569A">
              <w:rPr>
                <w:noProof/>
                <w:webHidden/>
              </w:rPr>
              <w:fldChar w:fldCharType="separate"/>
            </w:r>
            <w:r w:rsidR="003E569A">
              <w:rPr>
                <w:noProof/>
                <w:webHidden/>
              </w:rPr>
              <w:t>17</w:t>
            </w:r>
            <w:r w:rsidR="003E569A">
              <w:rPr>
                <w:noProof/>
                <w:webHidden/>
              </w:rPr>
              <w:fldChar w:fldCharType="end"/>
            </w:r>
          </w:hyperlink>
        </w:p>
        <w:p w14:paraId="1FF8D5F8" w14:textId="77777777" w:rsidR="003E569A" w:rsidRDefault="00255F7B">
          <w:pPr>
            <w:pStyle w:val="TOC1"/>
            <w:tabs>
              <w:tab w:val="right" w:leader="dot" w:pos="9350"/>
            </w:tabs>
            <w:rPr>
              <w:rFonts w:asciiTheme="minorHAnsi" w:eastAsiaTheme="minorEastAsia" w:hAnsiTheme="minorHAnsi"/>
              <w:noProof/>
              <w:sz w:val="24"/>
              <w:szCs w:val="24"/>
              <w:lang w:val="en-US"/>
            </w:rPr>
          </w:pPr>
          <w:hyperlink w:anchor="_Toc467163294" w:history="1">
            <w:r w:rsidR="003E569A" w:rsidRPr="006A6DA4">
              <w:rPr>
                <w:rStyle w:val="Hyperlink"/>
                <w:noProof/>
              </w:rPr>
              <w:t>Conclusions: Gaps and Areas for Further Follow-up</w:t>
            </w:r>
            <w:r w:rsidR="003E569A">
              <w:rPr>
                <w:noProof/>
                <w:webHidden/>
              </w:rPr>
              <w:tab/>
            </w:r>
            <w:r w:rsidR="003E569A">
              <w:rPr>
                <w:noProof/>
                <w:webHidden/>
              </w:rPr>
              <w:fldChar w:fldCharType="begin"/>
            </w:r>
            <w:r w:rsidR="003E569A">
              <w:rPr>
                <w:noProof/>
                <w:webHidden/>
              </w:rPr>
              <w:instrText xml:space="preserve"> PAGEREF _Toc467163294 \h </w:instrText>
            </w:r>
            <w:r w:rsidR="003E569A">
              <w:rPr>
                <w:noProof/>
                <w:webHidden/>
              </w:rPr>
            </w:r>
            <w:r w:rsidR="003E569A">
              <w:rPr>
                <w:noProof/>
                <w:webHidden/>
              </w:rPr>
              <w:fldChar w:fldCharType="separate"/>
            </w:r>
            <w:r w:rsidR="003E569A">
              <w:rPr>
                <w:noProof/>
                <w:webHidden/>
              </w:rPr>
              <w:t>18</w:t>
            </w:r>
            <w:r w:rsidR="003E569A">
              <w:rPr>
                <w:noProof/>
                <w:webHidden/>
              </w:rPr>
              <w:fldChar w:fldCharType="end"/>
            </w:r>
          </w:hyperlink>
        </w:p>
        <w:p w14:paraId="458140BC" w14:textId="15084F6E" w:rsidR="00FA639E" w:rsidRDefault="00FA639E" w:rsidP="00FA639E">
          <w:pPr>
            <w:jc w:val="center"/>
          </w:pPr>
          <w:r>
            <w:rPr>
              <w:b/>
              <w:bCs/>
              <w:noProof/>
            </w:rPr>
            <w:fldChar w:fldCharType="end"/>
          </w:r>
        </w:p>
      </w:sdtContent>
    </w:sdt>
    <w:p w14:paraId="2DC35B08" w14:textId="68AED247" w:rsidR="00716DFE" w:rsidRDefault="00716DFE">
      <w:pPr>
        <w:rPr>
          <w:b/>
          <w:color w:val="7030A0"/>
        </w:rPr>
      </w:pPr>
      <w:r>
        <w:br w:type="page"/>
      </w:r>
    </w:p>
    <w:p w14:paraId="3CE2646A" w14:textId="06E22C1F" w:rsidR="0097518B" w:rsidRPr="00716DFE" w:rsidRDefault="0097518B" w:rsidP="00716DFE">
      <w:pPr>
        <w:pStyle w:val="Heading1"/>
      </w:pPr>
      <w:bookmarkStart w:id="1" w:name="_Toc467163275"/>
      <w:r w:rsidRPr="00716DFE">
        <w:lastRenderedPageBreak/>
        <w:t>Executive Summary</w:t>
      </w:r>
      <w:bookmarkEnd w:id="1"/>
      <w:r w:rsidRPr="00716DFE">
        <w:t xml:space="preserve"> </w:t>
      </w:r>
    </w:p>
    <w:p w14:paraId="14352CA8" w14:textId="0DEA3DED" w:rsidR="0097518B" w:rsidRPr="00A15111" w:rsidRDefault="0097518B" w:rsidP="0097518B">
      <w:r w:rsidRPr="00A15111">
        <w:t>In 2015, the international community agreed on a set of 17 Sustainable Development Goals (SDGs) to guide local, national, regional and global efforts to realize sustainable development. The goals set out an ambitious agenda for all countries that includes targets on environmental, social and economic sustainability and recognizes the need to ensure that all people e</w:t>
      </w:r>
      <w:r w:rsidR="00E4004A" w:rsidRPr="00A15111">
        <w:t xml:space="preserve">verywhere benefit from progress. The </w:t>
      </w:r>
      <w:r w:rsidRPr="00A15111">
        <w:t xml:space="preserve">agenda </w:t>
      </w:r>
      <w:r w:rsidR="00E4004A" w:rsidRPr="00A15111">
        <w:t xml:space="preserve">also </w:t>
      </w:r>
      <w:r w:rsidRPr="00A15111">
        <w:t xml:space="preserve">promises inclusivity, to address inequalities and to “leave no one behind.” The SDGs present an opportunity for enhancing collective impact in Ontario </w:t>
      </w:r>
      <w:r w:rsidR="001F7569" w:rsidRPr="00A15111">
        <w:t>and Canada on sustainable development.</w:t>
      </w:r>
      <w:r w:rsidRPr="00A15111">
        <w:t xml:space="preserve"> Collective impact is a framework that aims to tackle complex problems facing society by working in collaboration across a wide range of stakeholders – government, business, civil society, citizens and others – to achieve long-term, transformative change. </w:t>
      </w:r>
    </w:p>
    <w:p w14:paraId="56FEF5AF" w14:textId="02118119" w:rsidR="0097518B" w:rsidRPr="00A15111" w:rsidRDefault="0097518B" w:rsidP="0097518B">
      <w:pPr>
        <w:rPr>
          <w:rFonts w:eastAsia="Calibri" w:cs="Tahoma"/>
        </w:rPr>
      </w:pPr>
      <w:r w:rsidRPr="00A15111">
        <w:t>The Ontario Council for International Cooperation (OCIC) is keen to explore how it can contribute to achieving the SDGs in Ontario and abroad through collective impact. To this end, OCIC has launched an</w:t>
      </w:r>
      <w:r w:rsidRPr="00A15111">
        <w:rPr>
          <w:rFonts w:eastAsia="Calibri" w:cs="Tahoma"/>
        </w:rPr>
        <w:t xml:space="preserve"> initiative aimed at furthering engagement between OCIC membe</w:t>
      </w:r>
      <w:r w:rsidR="00E4004A" w:rsidRPr="00A15111">
        <w:rPr>
          <w:rFonts w:eastAsia="Calibri" w:cs="Tahoma"/>
        </w:rPr>
        <w:t>rs and municipalities, colleges</w:t>
      </w:r>
      <w:r w:rsidRPr="00A15111">
        <w:rPr>
          <w:rFonts w:eastAsia="Calibri" w:cs="Tahoma"/>
        </w:rPr>
        <w:t xml:space="preserve"> and universities (MCUs) in Ontario. The initiative includes</w:t>
      </w:r>
      <w:r w:rsidR="00806D84" w:rsidRPr="00A15111">
        <w:rPr>
          <w:rFonts w:eastAsia="Calibri" w:cs="Tahoma"/>
        </w:rPr>
        <w:t xml:space="preserve"> </w:t>
      </w:r>
      <w:r w:rsidRPr="00A15111">
        <w:rPr>
          <w:rFonts w:eastAsia="Calibri" w:cs="Tahoma"/>
        </w:rPr>
        <w:t>establish</w:t>
      </w:r>
      <w:r w:rsidR="00806D84" w:rsidRPr="00A15111">
        <w:rPr>
          <w:rFonts w:eastAsia="Calibri" w:cs="Tahoma"/>
        </w:rPr>
        <w:t>ing</w:t>
      </w:r>
      <w:r w:rsidRPr="00A15111">
        <w:rPr>
          <w:rFonts w:eastAsia="Calibri" w:cs="Tahoma"/>
        </w:rPr>
        <w:t xml:space="preserve"> a baseline of how selected Ontario MCUs engage in international cooperation</w:t>
      </w:r>
      <w:r w:rsidR="00806D84" w:rsidRPr="00A15111">
        <w:rPr>
          <w:rFonts w:eastAsia="Calibri" w:cs="Tahoma"/>
        </w:rPr>
        <w:t xml:space="preserve"> and examining</w:t>
      </w:r>
      <w:r w:rsidRPr="00A15111">
        <w:rPr>
          <w:rFonts w:eastAsia="Calibri" w:cs="Tahoma"/>
        </w:rPr>
        <w:t xml:space="preserve"> opportunities for</w:t>
      </w:r>
      <w:r w:rsidR="00EB65E5" w:rsidRPr="00A15111">
        <w:rPr>
          <w:rFonts w:eastAsia="Calibri" w:cs="Tahoma"/>
        </w:rPr>
        <w:t xml:space="preserve"> engagement</w:t>
      </w:r>
      <w:r w:rsidRPr="00A15111">
        <w:rPr>
          <w:rFonts w:eastAsia="Calibri" w:cs="Tahoma"/>
        </w:rPr>
        <w:t xml:space="preserve"> between MCUs and Ontario-based civil society organizations</w:t>
      </w:r>
      <w:r w:rsidR="00EB65E5" w:rsidRPr="00A15111">
        <w:rPr>
          <w:rFonts w:eastAsia="Calibri" w:cs="Tahoma"/>
        </w:rPr>
        <w:t xml:space="preserve"> </w:t>
      </w:r>
      <w:r w:rsidRPr="00A15111">
        <w:rPr>
          <w:rFonts w:eastAsia="Calibri" w:cs="Tahoma"/>
        </w:rPr>
        <w:t xml:space="preserve">with a view towards specific options for </w:t>
      </w:r>
      <w:r w:rsidR="00EB65E5" w:rsidRPr="00A15111">
        <w:rPr>
          <w:rFonts w:eastAsia="Calibri" w:cs="Tahoma"/>
        </w:rPr>
        <w:t>collective impact and individual collaborations</w:t>
      </w:r>
      <w:r w:rsidRPr="00A15111">
        <w:rPr>
          <w:rFonts w:eastAsia="Calibri" w:cs="Tahoma"/>
        </w:rPr>
        <w:t xml:space="preserve">. </w:t>
      </w:r>
    </w:p>
    <w:p w14:paraId="0E240D73" w14:textId="515689FA" w:rsidR="0097518B" w:rsidRPr="00A15111" w:rsidRDefault="0097518B" w:rsidP="0097518B">
      <w:pPr>
        <w:rPr>
          <w:rFonts w:eastAsia="Calibri" w:cs="Tahoma"/>
        </w:rPr>
      </w:pPr>
      <w:r w:rsidRPr="00A15111">
        <w:rPr>
          <w:rFonts w:eastAsia="Calibri" w:cs="Tahoma"/>
        </w:rPr>
        <w:t>This report contributes to</w:t>
      </w:r>
      <w:r w:rsidR="00806D84" w:rsidRPr="00A15111">
        <w:rPr>
          <w:rFonts w:eastAsia="Calibri" w:cs="Tahoma"/>
        </w:rPr>
        <w:t xml:space="preserve"> establishing a baseline of MCU activities from wh</w:t>
      </w:r>
      <w:r w:rsidR="00EB65E5" w:rsidRPr="00A15111">
        <w:rPr>
          <w:rFonts w:eastAsia="Calibri" w:cs="Tahoma"/>
        </w:rPr>
        <w:t>ich OCIC can explore options</w:t>
      </w:r>
      <w:r w:rsidRPr="00A15111">
        <w:rPr>
          <w:rFonts w:eastAsia="Calibri" w:cs="Tahoma"/>
        </w:rPr>
        <w:t>.</w:t>
      </w:r>
      <w:r w:rsidR="00382C1E" w:rsidRPr="00A15111">
        <w:rPr>
          <w:rFonts w:eastAsia="Calibri" w:cs="Tahoma"/>
        </w:rPr>
        <w:t xml:space="preserve"> It represents the first phase of OCIC’s collective impact initiative and</w:t>
      </w:r>
      <w:r w:rsidRPr="00A15111">
        <w:rPr>
          <w:rFonts w:eastAsia="Calibri" w:cs="Tahoma"/>
        </w:rPr>
        <w:t xml:space="preserve"> provides an overview of how Ontario MCUs are engaging in international cooperation</w:t>
      </w:r>
      <w:r w:rsidR="00382C1E" w:rsidRPr="00A15111">
        <w:rPr>
          <w:rFonts w:eastAsia="Calibri" w:cs="Tahoma"/>
        </w:rPr>
        <w:t xml:space="preserve"> and on the SDGs</w:t>
      </w:r>
      <w:r w:rsidRPr="00A15111">
        <w:rPr>
          <w:rFonts w:eastAsia="Calibri" w:cs="Tahoma"/>
        </w:rPr>
        <w:t xml:space="preserve">. </w:t>
      </w:r>
      <w:r w:rsidR="00382C1E" w:rsidRPr="00A15111">
        <w:rPr>
          <w:rFonts w:eastAsia="Calibri" w:cs="Tahoma"/>
        </w:rPr>
        <w:t>Based on publicly available information on MCU websites, the findings in the report are necessarily limited and do not capture the full range of MCU activities. Nevertheless, the report provides an initial assessment of</w:t>
      </w:r>
      <w:r w:rsidRPr="00A15111">
        <w:rPr>
          <w:rFonts w:eastAsia="Calibri" w:cs="Tahoma"/>
        </w:rPr>
        <w:t xml:space="preserve"> potential entry points for future collaboration, in line with MCU strategic plans and priorities. </w:t>
      </w:r>
      <w:r w:rsidR="00382C1E" w:rsidRPr="00A15111">
        <w:rPr>
          <w:rFonts w:eastAsia="Calibri" w:cs="Tahoma"/>
        </w:rPr>
        <w:t>It serves as a b</w:t>
      </w:r>
      <w:r w:rsidRPr="00A15111">
        <w:rPr>
          <w:rFonts w:eastAsia="Calibri" w:cs="Tahoma"/>
        </w:rPr>
        <w:t xml:space="preserve">asis for </w:t>
      </w:r>
      <w:r w:rsidR="00382C1E" w:rsidRPr="00A15111">
        <w:rPr>
          <w:rFonts w:eastAsia="Calibri" w:cs="Tahoma"/>
        </w:rPr>
        <w:t xml:space="preserve">a survey of MCUs and future </w:t>
      </w:r>
      <w:r w:rsidRPr="00A15111">
        <w:rPr>
          <w:rFonts w:eastAsia="Calibri" w:cs="Tahoma"/>
        </w:rPr>
        <w:t xml:space="preserve">face-to-face discussions </w:t>
      </w:r>
      <w:r w:rsidR="00382C1E" w:rsidRPr="00A15111">
        <w:rPr>
          <w:rFonts w:eastAsia="Calibri" w:cs="Tahoma"/>
        </w:rPr>
        <w:t>that will occur i</w:t>
      </w:r>
      <w:r w:rsidRPr="00A15111">
        <w:rPr>
          <w:rFonts w:eastAsia="Calibri" w:cs="Tahoma"/>
        </w:rPr>
        <w:t xml:space="preserve">n the second phase of the initiative. </w:t>
      </w:r>
    </w:p>
    <w:p w14:paraId="4C2CBEDE" w14:textId="7AD93FAC" w:rsidR="0097518B" w:rsidRPr="00A15111" w:rsidRDefault="0097518B" w:rsidP="0097518B">
      <w:r w:rsidRPr="00A15111">
        <w:t xml:space="preserve">The </w:t>
      </w:r>
      <w:r w:rsidR="00382C1E" w:rsidRPr="00A15111">
        <w:t>report highlights a number of entry points for collective impact. The</w:t>
      </w:r>
      <w:r w:rsidRPr="00A15111">
        <w:t xml:space="preserve"> priorities articulated by municipalities suggests that there is alignment of interests between municipalities, OCIC members and other stakeholders in Ontario concerned with sustainable development.</w:t>
      </w:r>
      <w:r w:rsidR="00F468EF" w:rsidRPr="00A15111">
        <w:t xml:space="preserve"> This presents an opportunity to identify</w:t>
      </w:r>
      <w:r w:rsidRPr="00A15111">
        <w:t xml:space="preserve"> concrete priorities for collective impact. In terms of internation</w:t>
      </w:r>
      <w:r w:rsidR="00F468EF" w:rsidRPr="00A15111">
        <w:t>al cooperation, o</w:t>
      </w:r>
      <w:r w:rsidRPr="00A15111">
        <w:t>pportunities exist for OCIC and its members to work with municipaliti</w:t>
      </w:r>
      <w:r w:rsidR="00F468EF" w:rsidRPr="00A15111">
        <w:t>es</w:t>
      </w:r>
      <w:r w:rsidRPr="00A15111">
        <w:t xml:space="preserve"> in terms of improving public engagement on sustainable development issues, linking local and global priorities. At the international level, OCIC and its members could also work with municipalities to showcase successful approaches towards realizing sustainable development in Ontario at the local level as well as learn from the experiences of others. </w:t>
      </w:r>
    </w:p>
    <w:p w14:paraId="6E456F5D" w14:textId="29FD89E7" w:rsidR="0097518B" w:rsidRPr="00A15111" w:rsidRDefault="00FA639E" w:rsidP="0097518B">
      <w:pPr>
        <w:rPr>
          <w:rFonts w:cs="Arial"/>
          <w:bCs/>
        </w:rPr>
      </w:pPr>
      <w:r w:rsidRPr="00A15111">
        <w:t>T</w:t>
      </w:r>
      <w:r w:rsidR="00F468EF" w:rsidRPr="00A15111">
        <w:t xml:space="preserve">here is an opportunity for OCIC and its members to engage </w:t>
      </w:r>
      <w:r w:rsidR="0097518B" w:rsidRPr="00A15111">
        <w:t xml:space="preserve">colleges and universities </w:t>
      </w:r>
      <w:r w:rsidR="00F468EF" w:rsidRPr="00A15111">
        <w:t>on the expansion of</w:t>
      </w:r>
      <w:r w:rsidR="0097518B" w:rsidRPr="00A15111">
        <w:t xml:space="preserve"> experiential learning</w:t>
      </w:r>
      <w:r w:rsidR="00F468EF" w:rsidRPr="00A15111">
        <w:t xml:space="preserve"> programs</w:t>
      </w:r>
      <w:r w:rsidR="0097518B" w:rsidRPr="00A15111">
        <w:t xml:space="preserve"> and international and local partnerships. In particular</w:t>
      </w:r>
      <w:r w:rsidRPr="00A15111">
        <w:t>,</w:t>
      </w:r>
      <w:r w:rsidR="0097518B" w:rsidRPr="00A15111">
        <w:t xml:space="preserve"> opportunities ma</w:t>
      </w:r>
      <w:r w:rsidR="00E4004A" w:rsidRPr="00A15111">
        <w:t xml:space="preserve">y exist for student placements </w:t>
      </w:r>
      <w:r w:rsidR="0097518B" w:rsidRPr="00A15111">
        <w:t xml:space="preserve">and participation in international and more localized research initiatives on sustainable development. There is also potential to harness </w:t>
      </w:r>
      <w:r w:rsidR="0097518B" w:rsidRPr="00A15111">
        <w:rPr>
          <w:rFonts w:cs="Arial"/>
          <w:bCs/>
        </w:rPr>
        <w:t xml:space="preserve">increasing attention to global issues in tertiary education and the internationalization of student experiences. OCIC and its members may be well positioned to contribute to course content and through student engagement abroad. </w:t>
      </w:r>
      <w:r w:rsidR="00F468EF" w:rsidRPr="00A15111">
        <w:rPr>
          <w:rFonts w:cs="Arial"/>
          <w:bCs/>
        </w:rPr>
        <w:t>In this context, international development studies programs offer an important entry point.</w:t>
      </w:r>
    </w:p>
    <w:p w14:paraId="78CE271C" w14:textId="7E815C3D" w:rsidR="0097518B" w:rsidRPr="00A15111" w:rsidRDefault="0097518B" w:rsidP="0097518B">
      <w:pPr>
        <w:rPr>
          <w:rFonts w:cs="Arial"/>
          <w:bCs/>
        </w:rPr>
      </w:pPr>
      <w:r w:rsidRPr="00A15111">
        <w:rPr>
          <w:rFonts w:cs="Arial"/>
          <w:bCs/>
        </w:rPr>
        <w:lastRenderedPageBreak/>
        <w:t>A</w:t>
      </w:r>
      <w:r w:rsidR="00E4004A" w:rsidRPr="00A15111">
        <w:rPr>
          <w:rFonts w:cs="Arial"/>
          <w:bCs/>
        </w:rPr>
        <w:t xml:space="preserve"> number of the </w:t>
      </w:r>
      <w:r w:rsidRPr="00A15111">
        <w:rPr>
          <w:rFonts w:cs="Arial"/>
          <w:bCs/>
        </w:rPr>
        <w:t>colleges</w:t>
      </w:r>
      <w:r w:rsidR="00E4004A" w:rsidRPr="00A15111">
        <w:rPr>
          <w:rFonts w:cs="Arial"/>
          <w:bCs/>
        </w:rPr>
        <w:t xml:space="preserve"> and universities </w:t>
      </w:r>
      <w:r w:rsidR="00F468EF" w:rsidRPr="00A15111">
        <w:rPr>
          <w:rFonts w:cs="Arial"/>
          <w:bCs/>
        </w:rPr>
        <w:t>are also keen to strengthen community relationships through the establishment of</w:t>
      </w:r>
      <w:r w:rsidRPr="00A15111">
        <w:rPr>
          <w:rFonts w:cs="Arial"/>
          <w:bCs/>
        </w:rPr>
        <w:t xml:space="preserve"> local partnerships</w:t>
      </w:r>
      <w:r w:rsidR="00F468EF" w:rsidRPr="00A15111">
        <w:rPr>
          <w:rFonts w:cs="Arial"/>
          <w:bCs/>
        </w:rPr>
        <w:t>, identification of local</w:t>
      </w:r>
      <w:r w:rsidRPr="00A15111">
        <w:rPr>
          <w:rFonts w:cs="Arial"/>
          <w:bCs/>
        </w:rPr>
        <w:t xml:space="preserve"> research needs</w:t>
      </w:r>
      <w:r w:rsidR="00F468EF" w:rsidRPr="00A15111">
        <w:rPr>
          <w:rFonts w:cs="Arial"/>
          <w:bCs/>
        </w:rPr>
        <w:t xml:space="preserve"> and efforts to realize </w:t>
      </w:r>
      <w:r w:rsidRPr="00A15111">
        <w:rPr>
          <w:rFonts w:cs="Arial"/>
          <w:bCs/>
        </w:rPr>
        <w:t>social transformation. In terms of collective impact, college and university partners are well-positioned to assist in the development of ev</w:t>
      </w:r>
      <w:r w:rsidR="00E4004A" w:rsidRPr="00A15111">
        <w:rPr>
          <w:rFonts w:cs="Arial"/>
          <w:bCs/>
        </w:rPr>
        <w:t>idence-based approaches</w:t>
      </w:r>
      <w:r w:rsidRPr="00A15111">
        <w:rPr>
          <w:rFonts w:cs="Arial"/>
          <w:bCs/>
        </w:rPr>
        <w:t xml:space="preserve"> to realizing change and monitoring the i</w:t>
      </w:r>
      <w:r w:rsidR="00FA639E" w:rsidRPr="00A15111">
        <w:rPr>
          <w:rFonts w:cs="Arial"/>
          <w:bCs/>
        </w:rPr>
        <w:t>mpacts of</w:t>
      </w:r>
      <w:r w:rsidRPr="00A15111">
        <w:rPr>
          <w:rFonts w:cs="Arial"/>
          <w:bCs/>
        </w:rPr>
        <w:t xml:space="preserve"> efforts. </w:t>
      </w:r>
    </w:p>
    <w:p w14:paraId="47CBB39A" w14:textId="32B16B51" w:rsidR="0097518B" w:rsidRPr="00A15111" w:rsidRDefault="0097518B" w:rsidP="0097518B">
      <w:r w:rsidRPr="00A15111">
        <w:t>There are a number of key areas for further follow-up in phase two</w:t>
      </w:r>
      <w:r w:rsidR="00FA639E" w:rsidRPr="00A15111">
        <w:t xml:space="preserve"> of OCIC’s collective impact initiative</w:t>
      </w:r>
      <w:r w:rsidRPr="00A15111">
        <w:t xml:space="preserve">. </w:t>
      </w:r>
      <w:r w:rsidR="00F468EF" w:rsidRPr="00A15111">
        <w:t xml:space="preserve">OCIC </w:t>
      </w:r>
      <w:r w:rsidR="00FA639E" w:rsidRPr="00A15111">
        <w:t>should</w:t>
      </w:r>
      <w:r w:rsidR="00F468EF" w:rsidRPr="00A15111">
        <w:t xml:space="preserve"> explore the potential role of municipal associations and </w:t>
      </w:r>
      <w:r w:rsidRPr="00A15111">
        <w:t>further identif</w:t>
      </w:r>
      <w:r w:rsidR="00FA639E" w:rsidRPr="00A15111">
        <w:t>y</w:t>
      </w:r>
      <w:r w:rsidR="00F468EF" w:rsidRPr="00A15111">
        <w:t xml:space="preserve"> municipal</w:t>
      </w:r>
      <w:r w:rsidRPr="00A15111">
        <w:t xml:space="preserve"> priorities and collective impact entry points</w:t>
      </w:r>
      <w:r w:rsidR="00F468EF" w:rsidRPr="00A15111">
        <w:t xml:space="preserve">, including in the area of international cooperation. </w:t>
      </w:r>
      <w:r w:rsidRPr="00A15111">
        <w:t>For colleges and universities,</w:t>
      </w:r>
      <w:r w:rsidR="00F468EF" w:rsidRPr="00A15111">
        <w:t xml:space="preserve"> </w:t>
      </w:r>
      <w:r w:rsidRPr="00A15111">
        <w:t xml:space="preserve">phase two will need </w:t>
      </w:r>
      <w:r w:rsidR="00FA639E" w:rsidRPr="00A15111">
        <w:t>to include a broad range</w:t>
      </w:r>
      <w:r w:rsidR="00F468EF" w:rsidRPr="00A15111">
        <w:t xml:space="preserve"> of college and university stakeholders </w:t>
      </w:r>
      <w:r w:rsidR="00FA639E" w:rsidRPr="00A15111">
        <w:t xml:space="preserve">from a </w:t>
      </w:r>
      <w:r w:rsidR="00F468EF" w:rsidRPr="00A15111">
        <w:t>wide range of departments and programs. Phase two should look to further identify ex</w:t>
      </w:r>
      <w:r w:rsidRPr="00A15111">
        <w:t>isting partnerships with community stakeholders</w:t>
      </w:r>
      <w:r w:rsidR="00F468EF" w:rsidRPr="00A15111">
        <w:t>, priorities for</w:t>
      </w:r>
      <w:r w:rsidRPr="00A15111">
        <w:t xml:space="preserve"> collective impact</w:t>
      </w:r>
      <w:r w:rsidR="00983F27" w:rsidRPr="00A15111">
        <w:t>, including in terms of social transformation,</w:t>
      </w:r>
      <w:r w:rsidR="00F468EF" w:rsidRPr="00A15111">
        <w:t xml:space="preserve"> potential areas for joint research</w:t>
      </w:r>
      <w:r w:rsidR="00983F27" w:rsidRPr="00A15111">
        <w:t xml:space="preserve"> and experiential learning opportunities.</w:t>
      </w:r>
      <w:r w:rsidRPr="00A15111">
        <w:t xml:space="preserve"> </w:t>
      </w:r>
    </w:p>
    <w:p w14:paraId="6CB603C5" w14:textId="44C8E81C" w:rsidR="0097518B" w:rsidRPr="00A15111" w:rsidRDefault="0097518B" w:rsidP="0097518B">
      <w:r w:rsidRPr="00A15111">
        <w:t xml:space="preserve">OCIC’s collective impact initiative will </w:t>
      </w:r>
      <w:r w:rsidR="00983F27" w:rsidRPr="00A15111">
        <w:t>build on this report</w:t>
      </w:r>
      <w:r w:rsidRPr="00A15111">
        <w:t xml:space="preserve"> with the aim of identifying concrete steps among </w:t>
      </w:r>
      <w:r w:rsidR="00983F27" w:rsidRPr="00A15111">
        <w:t xml:space="preserve">civil society organizations and MCUs </w:t>
      </w:r>
      <w:r w:rsidRPr="00A15111">
        <w:t>to realize sustainable development and social transformation in Ontario</w:t>
      </w:r>
      <w:r w:rsidR="00FA639E" w:rsidRPr="00A15111">
        <w:t xml:space="preserve"> in the next phase</w:t>
      </w:r>
      <w:r w:rsidRPr="00A15111">
        <w:t xml:space="preserve">. </w:t>
      </w:r>
    </w:p>
    <w:p w14:paraId="448B8913" w14:textId="77777777" w:rsidR="0097518B" w:rsidRPr="00A15111" w:rsidRDefault="0097518B" w:rsidP="0097518B"/>
    <w:p w14:paraId="562CB0D4" w14:textId="2A139D38" w:rsidR="001E2C93" w:rsidRPr="00A15111" w:rsidRDefault="001E2C93"/>
    <w:p w14:paraId="161BCB18" w14:textId="77777777" w:rsidR="00FA639E" w:rsidRPr="00A15111" w:rsidRDefault="00FA639E">
      <w:pPr>
        <w:rPr>
          <w:b/>
          <w:color w:val="7030A0"/>
        </w:rPr>
      </w:pPr>
      <w:r w:rsidRPr="00A15111">
        <w:br w:type="page"/>
      </w:r>
    </w:p>
    <w:p w14:paraId="1413543F" w14:textId="2E372F3C" w:rsidR="008E2AC4" w:rsidRPr="00A15111" w:rsidRDefault="008E2AC4" w:rsidP="001E2C93">
      <w:pPr>
        <w:pStyle w:val="Heading1"/>
      </w:pPr>
      <w:bookmarkStart w:id="2" w:name="_Toc467163276"/>
      <w:r w:rsidRPr="00A15111">
        <w:lastRenderedPageBreak/>
        <w:t>Introduction</w:t>
      </w:r>
      <w:bookmarkEnd w:id="2"/>
    </w:p>
    <w:p w14:paraId="4493B28E" w14:textId="53CCE747" w:rsidR="008E2AC4" w:rsidRPr="00A15111" w:rsidRDefault="007B351D" w:rsidP="007B351D">
      <w:r w:rsidRPr="00A15111">
        <w:t xml:space="preserve">In 2015, the </w:t>
      </w:r>
      <w:r w:rsidR="006F3E8A" w:rsidRPr="00A15111">
        <w:t>international</w:t>
      </w:r>
      <w:r w:rsidRPr="00A15111">
        <w:t xml:space="preserve"> community agreed </w:t>
      </w:r>
      <w:r w:rsidR="0010161A" w:rsidRPr="00A15111">
        <w:t>on</w:t>
      </w:r>
      <w:r w:rsidRPr="00A15111">
        <w:t xml:space="preserve"> a set of 17 Sustainable Development Goals (SDGs) to guide local, national, regional and global efforts to realize sustainable development. The goals</w:t>
      </w:r>
      <w:r w:rsidR="006F3E8A" w:rsidRPr="00A15111">
        <w:t xml:space="preserve"> </w:t>
      </w:r>
      <w:r w:rsidRPr="00A15111">
        <w:t>set out an ambitious</w:t>
      </w:r>
      <w:r w:rsidR="0010161A" w:rsidRPr="00A15111">
        <w:t xml:space="preserve"> a</w:t>
      </w:r>
      <w:r w:rsidRPr="00A15111">
        <w:t>genda that includes targets on environmental, social and economic sustainability and recognizes the need to ensure that all people ev</w:t>
      </w:r>
      <w:r w:rsidR="00E4004A" w:rsidRPr="00A15111">
        <w:t xml:space="preserve">erywhere benefit from progress. The </w:t>
      </w:r>
      <w:r w:rsidRPr="00A15111">
        <w:t xml:space="preserve">agenda </w:t>
      </w:r>
      <w:r w:rsidR="00E4004A" w:rsidRPr="00A15111">
        <w:t xml:space="preserve">also </w:t>
      </w:r>
      <w:r w:rsidRPr="00A15111">
        <w:t>promises inclusivity, to address inequalities and to “leave n</w:t>
      </w:r>
      <w:r w:rsidR="0010161A" w:rsidRPr="00A15111">
        <w:t xml:space="preserve">o one behind.” Importantly, </w:t>
      </w:r>
      <w:r w:rsidRPr="00A15111">
        <w:t>unlike the Millennium Development Goals (MDGs) that largely applied to developing countries, the SDGs are universal, applying to all countries, high income and low income alike. All countries are expected to</w:t>
      </w:r>
      <w:r w:rsidR="0010161A" w:rsidRPr="00A15111">
        <w:t xml:space="preserve"> </w:t>
      </w:r>
      <w:r w:rsidR="000D3EFC" w:rsidRPr="00A15111">
        <w:t>work</w:t>
      </w:r>
      <w:r w:rsidR="0010161A" w:rsidRPr="00A15111">
        <w:t xml:space="preserve"> toward </w:t>
      </w:r>
      <w:r w:rsidRPr="00A15111">
        <w:t xml:space="preserve">sustainable development in accordance with </w:t>
      </w:r>
      <w:r w:rsidR="0010161A" w:rsidRPr="00A15111">
        <w:t>their national priorities. T</w:t>
      </w:r>
      <w:r w:rsidR="00E4004A" w:rsidRPr="00A15111">
        <w:t xml:space="preserve">o realize progress </w:t>
      </w:r>
      <w:r w:rsidRPr="00A15111">
        <w:t xml:space="preserve">the SDGs are underpinned by a </w:t>
      </w:r>
      <w:r w:rsidR="0010161A" w:rsidRPr="00A15111">
        <w:t>commitment to</w:t>
      </w:r>
      <w:r w:rsidRPr="00A15111">
        <w:t xml:space="preserve"> multi</w:t>
      </w:r>
      <w:r w:rsidR="000D3EFC" w:rsidRPr="00A15111">
        <w:t>-stakeholder partnerships. S</w:t>
      </w:r>
      <w:r w:rsidRPr="00A15111">
        <w:t xml:space="preserve">takeholders in society – national and local governments, the private sector, civil society, academia and citizens </w:t>
      </w:r>
      <w:r w:rsidR="000D3EFC" w:rsidRPr="00A15111">
        <w:t xml:space="preserve">– </w:t>
      </w:r>
      <w:r w:rsidRPr="00A15111">
        <w:t>a</w:t>
      </w:r>
      <w:r w:rsidR="0010161A" w:rsidRPr="00A15111">
        <w:t>re</w:t>
      </w:r>
      <w:r w:rsidR="000D3EFC" w:rsidRPr="00A15111">
        <w:t xml:space="preserve"> </w:t>
      </w:r>
      <w:r w:rsidR="0010161A" w:rsidRPr="00A15111">
        <w:t>expected to do their part to achieve the</w:t>
      </w:r>
      <w:r w:rsidRPr="00A15111">
        <w:t xml:space="preserve"> </w:t>
      </w:r>
      <w:r w:rsidR="00B90E32" w:rsidRPr="00A15111">
        <w:t>SDGs.</w:t>
      </w:r>
    </w:p>
    <w:p w14:paraId="7135B7DE" w14:textId="77777777" w:rsidR="00B90E32" w:rsidRPr="00A15111" w:rsidRDefault="0010161A" w:rsidP="00716DFE">
      <w:r w:rsidRPr="00A15111">
        <w:t>T</w:t>
      </w:r>
      <w:r w:rsidR="00B90E32" w:rsidRPr="00A15111">
        <w:t>he SDGs present an opportunity for enhancing collective impact. Collective impact is a framework that aims to tackle complex problems facing society by working in collaboration across a wide range of stakeholders – government, business, civil society, citizens and others – to achieve long-term, transformative change. John Kania and Mark Kramer identify five elements of the collective impact approach.</w:t>
      </w:r>
      <w:r w:rsidR="00B90E32" w:rsidRPr="00A15111">
        <w:rPr>
          <w:rStyle w:val="FootnoteReference"/>
        </w:rPr>
        <w:footnoteReference w:id="1"/>
      </w:r>
      <w:r w:rsidR="00B90E32" w:rsidRPr="00A15111">
        <w:t xml:space="preserve"> It includes actions guided by a </w:t>
      </w:r>
      <w:r w:rsidRPr="00A15111">
        <w:t xml:space="preserve">1) </w:t>
      </w:r>
      <w:r w:rsidR="00B90E32" w:rsidRPr="00A15111">
        <w:t xml:space="preserve">common agenda grounded in a shared understanding of the problem and how to resolve it, </w:t>
      </w:r>
      <w:r w:rsidRPr="00A15111">
        <w:t xml:space="preserve">2) </w:t>
      </w:r>
      <w:r w:rsidR="00B90E32" w:rsidRPr="00A15111">
        <w:t xml:space="preserve">measurement of results to ensure alignment of actions and accountability, </w:t>
      </w:r>
      <w:r w:rsidRPr="00A15111">
        <w:t xml:space="preserve">3) </w:t>
      </w:r>
      <w:r w:rsidR="00B90E32" w:rsidRPr="00A15111">
        <w:t>articulation and coordination of mutually reinforcing activities carried out by each participant supporting the common agenda,</w:t>
      </w:r>
      <w:r w:rsidRPr="00A15111">
        <w:t xml:space="preserve"> 4) </w:t>
      </w:r>
      <w:r w:rsidR="00B90E32" w:rsidRPr="00A15111">
        <w:t xml:space="preserve">open and ongoing communication as a means to build trust and motivate, and </w:t>
      </w:r>
      <w:r w:rsidRPr="00A15111">
        <w:t xml:space="preserve">5) </w:t>
      </w:r>
      <w:r w:rsidR="00B90E32" w:rsidRPr="00A15111">
        <w:t>backbone organizations that have staff and capacities to support the initiati</w:t>
      </w:r>
      <w:r w:rsidR="001E6935" w:rsidRPr="00A15111">
        <w:t xml:space="preserve">ve and coordinate participants. The SDGs provide a common agenda behind which stakeholders across sectors can work to tackle complex social, environmental and economic challenges. </w:t>
      </w:r>
    </w:p>
    <w:p w14:paraId="34DBA806" w14:textId="73382FCA" w:rsidR="000A4EA7" w:rsidRPr="00A15111" w:rsidRDefault="001E6935" w:rsidP="006F3E8A">
      <w:pPr>
        <w:rPr>
          <w:rFonts w:eastAsia="Calibri" w:cs="Tahoma"/>
        </w:rPr>
      </w:pPr>
      <w:r w:rsidRPr="00A15111">
        <w:t xml:space="preserve">The Ontario Council for International Cooperation (OCIC) is keen to explore how it </w:t>
      </w:r>
      <w:r w:rsidR="0010161A" w:rsidRPr="00A15111">
        <w:t xml:space="preserve">can </w:t>
      </w:r>
      <w:r w:rsidR="006F3E8A" w:rsidRPr="00A15111">
        <w:t>contribute to achieving the SDGs in Ontario and abroad through</w:t>
      </w:r>
      <w:r w:rsidRPr="00A15111">
        <w:t xml:space="preserve"> collective impact</w:t>
      </w:r>
      <w:r w:rsidR="00EC2F31" w:rsidRPr="00A15111">
        <w:t xml:space="preserve">. </w:t>
      </w:r>
      <w:r w:rsidR="006F3E8A" w:rsidRPr="00A15111">
        <w:t>To this end, OCIC has launched an</w:t>
      </w:r>
      <w:r w:rsidR="008E2AC4" w:rsidRPr="00A15111">
        <w:rPr>
          <w:rFonts w:eastAsia="Calibri" w:cs="Tahoma"/>
        </w:rPr>
        <w:t xml:space="preserve"> initiative aimed at furthering engagement between OCIC membe</w:t>
      </w:r>
      <w:r w:rsidR="00E4004A" w:rsidRPr="00A15111">
        <w:rPr>
          <w:rFonts w:eastAsia="Calibri" w:cs="Tahoma"/>
        </w:rPr>
        <w:t>rs and municipalities, colleges</w:t>
      </w:r>
      <w:r w:rsidR="008E2AC4" w:rsidRPr="00A15111">
        <w:rPr>
          <w:rFonts w:eastAsia="Calibri" w:cs="Tahoma"/>
        </w:rPr>
        <w:t xml:space="preserve"> and universities (MCU</w:t>
      </w:r>
      <w:r w:rsidR="0010161A" w:rsidRPr="00A15111">
        <w:rPr>
          <w:rFonts w:eastAsia="Calibri" w:cs="Tahoma"/>
        </w:rPr>
        <w:t>s</w:t>
      </w:r>
      <w:r w:rsidR="008E2AC4" w:rsidRPr="00A15111">
        <w:rPr>
          <w:rFonts w:eastAsia="Calibri" w:cs="Tahoma"/>
        </w:rPr>
        <w:t>) in Onta</w:t>
      </w:r>
      <w:r w:rsidR="006F3E8A" w:rsidRPr="00A15111">
        <w:rPr>
          <w:rFonts w:eastAsia="Calibri" w:cs="Tahoma"/>
        </w:rPr>
        <w:t>rio</w:t>
      </w:r>
      <w:r w:rsidR="008E2AC4" w:rsidRPr="00A15111">
        <w:rPr>
          <w:rFonts w:eastAsia="Calibri" w:cs="Tahoma"/>
        </w:rPr>
        <w:t xml:space="preserve">. The initiative includes a number of key </w:t>
      </w:r>
      <w:r w:rsidR="00E7755B" w:rsidRPr="00A15111">
        <w:rPr>
          <w:rFonts w:eastAsia="Calibri" w:cs="Tahoma"/>
        </w:rPr>
        <w:t>components</w:t>
      </w:r>
      <w:r w:rsidR="008E2AC4" w:rsidRPr="00A15111">
        <w:rPr>
          <w:rFonts w:eastAsia="Calibri" w:cs="Tahoma"/>
        </w:rPr>
        <w:t>. First, it seeks to establish a baseline of how selected Ontario MCU</w:t>
      </w:r>
      <w:r w:rsidR="0010161A" w:rsidRPr="00A15111">
        <w:rPr>
          <w:rFonts w:eastAsia="Calibri" w:cs="Tahoma"/>
        </w:rPr>
        <w:t>s</w:t>
      </w:r>
      <w:r w:rsidR="000D3EFC" w:rsidRPr="00A15111">
        <w:rPr>
          <w:rFonts w:eastAsia="Calibri" w:cs="Tahoma"/>
        </w:rPr>
        <w:t xml:space="preserve"> engage in international cooperation</w:t>
      </w:r>
      <w:r w:rsidR="008E2AC4" w:rsidRPr="00A15111">
        <w:rPr>
          <w:rFonts w:eastAsia="Calibri" w:cs="Tahoma"/>
        </w:rPr>
        <w:t xml:space="preserve"> and with whom. Second, it will solicit feedback on where MCU</w:t>
      </w:r>
      <w:r w:rsidR="0010161A" w:rsidRPr="00A15111">
        <w:rPr>
          <w:rFonts w:eastAsia="Calibri" w:cs="Tahoma"/>
        </w:rPr>
        <w:t>s</w:t>
      </w:r>
      <w:r w:rsidR="008E2AC4" w:rsidRPr="00A15111">
        <w:rPr>
          <w:rFonts w:eastAsia="Calibri" w:cs="Tahoma"/>
        </w:rPr>
        <w:t xml:space="preserve"> situate themselves vis-à-vis the S</w:t>
      </w:r>
      <w:r w:rsidR="006F3E8A" w:rsidRPr="00A15111">
        <w:rPr>
          <w:rFonts w:eastAsia="Calibri" w:cs="Tahoma"/>
        </w:rPr>
        <w:t>DGs</w:t>
      </w:r>
      <w:r w:rsidR="008E2AC4" w:rsidRPr="00A15111">
        <w:rPr>
          <w:rFonts w:eastAsia="Calibri" w:cs="Tahoma"/>
        </w:rPr>
        <w:t>, and their vision going forw</w:t>
      </w:r>
      <w:r w:rsidR="006F3E8A" w:rsidRPr="00A15111">
        <w:rPr>
          <w:rFonts w:eastAsia="Calibri" w:cs="Tahoma"/>
        </w:rPr>
        <w:t xml:space="preserve">ard with respect to </w:t>
      </w:r>
      <w:r w:rsidR="008E2AC4" w:rsidRPr="00A15111">
        <w:rPr>
          <w:rFonts w:eastAsia="Calibri" w:cs="Tahoma"/>
        </w:rPr>
        <w:t>international</w:t>
      </w:r>
      <w:r w:rsidR="006F3E8A" w:rsidRPr="00A15111">
        <w:rPr>
          <w:rFonts w:eastAsia="Calibri" w:cs="Tahoma"/>
        </w:rPr>
        <w:t xml:space="preserve"> </w:t>
      </w:r>
      <w:r w:rsidR="0010161A" w:rsidRPr="00A15111">
        <w:rPr>
          <w:rFonts w:eastAsia="Calibri" w:cs="Tahoma"/>
        </w:rPr>
        <w:t>cooperation</w:t>
      </w:r>
      <w:r w:rsidR="00967167" w:rsidRPr="00A15111">
        <w:rPr>
          <w:rFonts w:eastAsia="Calibri" w:cs="Tahoma"/>
        </w:rPr>
        <w:t>.</w:t>
      </w:r>
      <w:r w:rsidR="008E2AC4" w:rsidRPr="00A15111">
        <w:rPr>
          <w:rFonts w:eastAsia="Calibri" w:cs="Tahoma"/>
        </w:rPr>
        <w:t xml:space="preserve"> Finally, the initiative </w:t>
      </w:r>
      <w:r w:rsidR="000D3EFC" w:rsidRPr="00A15111">
        <w:rPr>
          <w:rFonts w:eastAsia="Calibri" w:cs="Tahoma"/>
        </w:rPr>
        <w:t>examine</w:t>
      </w:r>
      <w:r w:rsidR="00EC2F31" w:rsidRPr="00A15111">
        <w:rPr>
          <w:rFonts w:eastAsia="Calibri" w:cs="Tahoma"/>
        </w:rPr>
        <w:t>s</w:t>
      </w:r>
      <w:r w:rsidR="008E2AC4" w:rsidRPr="00A15111">
        <w:rPr>
          <w:rFonts w:eastAsia="Calibri" w:cs="Tahoma"/>
        </w:rPr>
        <w:t xml:space="preserve"> opportunities for engagement and collaboration between MCU</w:t>
      </w:r>
      <w:r w:rsidR="0010161A" w:rsidRPr="00A15111">
        <w:rPr>
          <w:rFonts w:eastAsia="Calibri" w:cs="Tahoma"/>
        </w:rPr>
        <w:t>s</w:t>
      </w:r>
      <w:r w:rsidR="008E2AC4" w:rsidRPr="00A15111">
        <w:rPr>
          <w:rFonts w:eastAsia="Calibri" w:cs="Tahoma"/>
        </w:rPr>
        <w:t xml:space="preserve"> and Ontario-based civil society organizations</w:t>
      </w:r>
      <w:r w:rsidR="006F3E8A" w:rsidRPr="00A15111">
        <w:rPr>
          <w:rFonts w:eastAsia="Calibri" w:cs="Tahoma"/>
        </w:rPr>
        <w:t xml:space="preserve"> (CSOs)</w:t>
      </w:r>
      <w:r w:rsidR="008E2AC4" w:rsidRPr="00A15111">
        <w:rPr>
          <w:rFonts w:eastAsia="Calibri" w:cs="Tahoma"/>
        </w:rPr>
        <w:t xml:space="preserve"> with a view towards specific options for collaboration between individual organizations and MCU</w:t>
      </w:r>
      <w:r w:rsidR="00967167" w:rsidRPr="00A15111">
        <w:rPr>
          <w:rFonts w:eastAsia="Calibri" w:cs="Tahoma"/>
        </w:rPr>
        <w:t>s</w:t>
      </w:r>
      <w:r w:rsidR="008E2AC4" w:rsidRPr="00A15111">
        <w:rPr>
          <w:rFonts w:eastAsia="Calibri" w:cs="Tahoma"/>
        </w:rPr>
        <w:t xml:space="preserve">, and collective efforts. </w:t>
      </w:r>
    </w:p>
    <w:p w14:paraId="69C9C911" w14:textId="0527326B" w:rsidR="00E7755B" w:rsidRPr="00A15111" w:rsidRDefault="000A4EA7" w:rsidP="008E2AC4">
      <w:pPr>
        <w:rPr>
          <w:rFonts w:eastAsia="Calibri" w:cs="Tahoma"/>
        </w:rPr>
      </w:pPr>
      <w:r w:rsidRPr="00A15111">
        <w:rPr>
          <w:rFonts w:eastAsia="Calibri" w:cs="Tahoma"/>
        </w:rPr>
        <w:t xml:space="preserve">This report </w:t>
      </w:r>
      <w:r w:rsidR="00E7755B" w:rsidRPr="00A15111">
        <w:rPr>
          <w:rFonts w:eastAsia="Calibri" w:cs="Tahoma"/>
        </w:rPr>
        <w:t>contributes to the first component of OCIC’s collective impact initiative. It provides an overview of</w:t>
      </w:r>
      <w:r w:rsidR="00967167" w:rsidRPr="00A15111">
        <w:rPr>
          <w:rFonts w:eastAsia="Calibri" w:cs="Tahoma"/>
        </w:rPr>
        <w:t xml:space="preserve"> how Ontario MCUs are engaging i</w:t>
      </w:r>
      <w:r w:rsidR="00E7755B" w:rsidRPr="00A15111">
        <w:rPr>
          <w:rFonts w:eastAsia="Calibri" w:cs="Tahoma"/>
        </w:rPr>
        <w:t>n international</w:t>
      </w:r>
      <w:r w:rsidR="00967167" w:rsidRPr="00A15111">
        <w:rPr>
          <w:rFonts w:eastAsia="Calibri" w:cs="Tahoma"/>
        </w:rPr>
        <w:t xml:space="preserve"> cooperation</w:t>
      </w:r>
      <w:r w:rsidR="00E7755B" w:rsidRPr="00A15111">
        <w:rPr>
          <w:rFonts w:eastAsia="Calibri" w:cs="Tahoma"/>
        </w:rPr>
        <w:t xml:space="preserve">. The research, based on a sample of Ontario MCUs, </w:t>
      </w:r>
      <w:r w:rsidR="000D3EFC" w:rsidRPr="00A15111">
        <w:rPr>
          <w:rFonts w:eastAsia="Calibri" w:cs="Tahoma"/>
        </w:rPr>
        <w:t xml:space="preserve">also </w:t>
      </w:r>
      <w:r w:rsidR="00E7755B" w:rsidRPr="00A15111">
        <w:rPr>
          <w:rFonts w:eastAsia="Calibri" w:cs="Tahoma"/>
        </w:rPr>
        <w:t>provides an initial assessment of the extent to which MCUs are engaging with SDG agenda</w:t>
      </w:r>
      <w:r w:rsidR="000D3EFC" w:rsidRPr="00A15111">
        <w:rPr>
          <w:rFonts w:eastAsia="Calibri" w:cs="Tahoma"/>
        </w:rPr>
        <w:t xml:space="preserve">. It </w:t>
      </w:r>
      <w:r w:rsidR="00E7755B" w:rsidRPr="00A15111">
        <w:rPr>
          <w:rFonts w:eastAsia="Calibri" w:cs="Tahoma"/>
        </w:rPr>
        <w:t xml:space="preserve">examines potential entry points for future collaboration, in line with MCU strategic plans </w:t>
      </w:r>
      <w:r w:rsidR="000D3EFC" w:rsidRPr="00A15111">
        <w:rPr>
          <w:rFonts w:eastAsia="Calibri" w:cs="Tahoma"/>
        </w:rPr>
        <w:t xml:space="preserve">and priorities. The report </w:t>
      </w:r>
      <w:r w:rsidR="00E7755B" w:rsidRPr="00A15111">
        <w:rPr>
          <w:rFonts w:eastAsia="Calibri" w:cs="Tahoma"/>
        </w:rPr>
        <w:t>provide</w:t>
      </w:r>
      <w:r w:rsidR="000D3EFC" w:rsidRPr="00A15111">
        <w:rPr>
          <w:rFonts w:eastAsia="Calibri" w:cs="Tahoma"/>
        </w:rPr>
        <w:t>s</w:t>
      </w:r>
      <w:r w:rsidR="00E7755B" w:rsidRPr="00A15111">
        <w:rPr>
          <w:rFonts w:eastAsia="Calibri" w:cs="Tahoma"/>
        </w:rPr>
        <w:t xml:space="preserve"> a basis for</w:t>
      </w:r>
      <w:r w:rsidR="00EC2F31" w:rsidRPr="00A15111">
        <w:rPr>
          <w:rFonts w:eastAsia="Calibri" w:cs="Tahoma"/>
        </w:rPr>
        <w:t xml:space="preserve"> a survey of MCUs and</w:t>
      </w:r>
      <w:r w:rsidR="00E7755B" w:rsidRPr="00A15111">
        <w:rPr>
          <w:rFonts w:eastAsia="Calibri" w:cs="Tahoma"/>
        </w:rPr>
        <w:t xml:space="preserve"> face-to-face discussions with in the </w:t>
      </w:r>
      <w:r w:rsidR="00920E74" w:rsidRPr="00A15111">
        <w:rPr>
          <w:rFonts w:eastAsia="Calibri" w:cs="Tahoma"/>
        </w:rPr>
        <w:t xml:space="preserve">second phase of the initiative. </w:t>
      </w:r>
      <w:r w:rsidR="00E7755B" w:rsidRPr="00A15111">
        <w:rPr>
          <w:rFonts w:eastAsia="Calibri" w:cs="Tahoma"/>
        </w:rPr>
        <w:t xml:space="preserve">Following the description of the research design and approach, the </w:t>
      </w:r>
      <w:r w:rsidR="00E7755B" w:rsidRPr="00A15111">
        <w:rPr>
          <w:rFonts w:eastAsia="Calibri" w:cs="Tahoma"/>
        </w:rPr>
        <w:lastRenderedPageBreak/>
        <w:t xml:space="preserve">report presents key findings. It </w:t>
      </w:r>
      <w:r w:rsidR="00920E74" w:rsidRPr="00A15111">
        <w:rPr>
          <w:rFonts w:eastAsia="Calibri" w:cs="Tahoma"/>
        </w:rPr>
        <w:t>then outlines opportunities for collective impact, followed by conclusions and areas for follow-up</w:t>
      </w:r>
      <w:r w:rsidR="00EC2F31" w:rsidRPr="00A15111">
        <w:rPr>
          <w:rFonts w:eastAsia="Calibri" w:cs="Tahoma"/>
        </w:rPr>
        <w:t>.</w:t>
      </w:r>
      <w:r w:rsidR="00920E74" w:rsidRPr="00A15111">
        <w:rPr>
          <w:rFonts w:eastAsia="Calibri" w:cs="Tahoma"/>
        </w:rPr>
        <w:t xml:space="preserve"> </w:t>
      </w:r>
    </w:p>
    <w:p w14:paraId="7D3377AD" w14:textId="77777777" w:rsidR="008E2AC4" w:rsidRPr="00A15111" w:rsidRDefault="008E2AC4" w:rsidP="00716DFE">
      <w:pPr>
        <w:pStyle w:val="Heading1"/>
      </w:pPr>
      <w:bookmarkStart w:id="3" w:name="_Toc467163277"/>
      <w:r w:rsidRPr="00716DFE">
        <w:t>Methodology</w:t>
      </w:r>
      <w:bookmarkEnd w:id="3"/>
      <w:r w:rsidRPr="00A15111">
        <w:t xml:space="preserve"> </w:t>
      </w:r>
    </w:p>
    <w:p w14:paraId="3A831445" w14:textId="77777777" w:rsidR="00920E74" w:rsidRPr="00716DFE" w:rsidRDefault="00920E74" w:rsidP="00716DFE">
      <w:pPr>
        <w:pStyle w:val="Heading2"/>
      </w:pPr>
      <w:bookmarkStart w:id="4" w:name="_Toc462982526"/>
      <w:bookmarkStart w:id="5" w:name="_Toc462988900"/>
      <w:bookmarkStart w:id="6" w:name="_Toc463342147"/>
      <w:bookmarkStart w:id="7" w:name="_Toc467163278"/>
      <w:r w:rsidRPr="00716DFE">
        <w:t>Approach</w:t>
      </w:r>
      <w:bookmarkEnd w:id="4"/>
      <w:bookmarkEnd w:id="5"/>
      <w:bookmarkEnd w:id="6"/>
      <w:bookmarkEnd w:id="7"/>
      <w:r w:rsidRPr="00716DFE">
        <w:t xml:space="preserve"> </w:t>
      </w:r>
    </w:p>
    <w:p w14:paraId="51AD6E9C" w14:textId="4BC5F0B0" w:rsidR="008E2AC4" w:rsidRPr="00A15111" w:rsidRDefault="00920E74" w:rsidP="00920E74">
      <w:r w:rsidRPr="00A15111">
        <w:t>The initial scoping of selected MCUs is largely grounded in a desk-based review of publicly available information</w:t>
      </w:r>
      <w:r w:rsidR="00240C14" w:rsidRPr="00A15111">
        <w:t xml:space="preserve"> on MCU websites. D</w:t>
      </w:r>
      <w:r w:rsidRPr="00A15111">
        <w:t>uring OCIC’s 2016 Annual Gen</w:t>
      </w:r>
      <w:r w:rsidR="00240C14" w:rsidRPr="00A15111">
        <w:t>eral Meeting &amp; Symposium</w:t>
      </w:r>
      <w:r w:rsidRPr="00A15111">
        <w:t xml:space="preserve">, OCIC members </w:t>
      </w:r>
      <w:r w:rsidR="00240C14" w:rsidRPr="00A15111">
        <w:t xml:space="preserve">also </w:t>
      </w:r>
      <w:r w:rsidRPr="00A15111">
        <w:t>participated in a roundtable discussion on engaging Ontario MCU</w:t>
      </w:r>
      <w:r w:rsidR="00967167" w:rsidRPr="00A15111">
        <w:t>s</w:t>
      </w:r>
      <w:r w:rsidRPr="00A15111">
        <w:t xml:space="preserve">. </w:t>
      </w:r>
      <w:r w:rsidR="00967167" w:rsidRPr="00A15111">
        <w:t>Member</w:t>
      </w:r>
      <w:r w:rsidR="00240C14" w:rsidRPr="00A15111">
        <w:t>s</w:t>
      </w:r>
      <w:r w:rsidR="00967167" w:rsidRPr="00A15111">
        <w:t xml:space="preserve"> </w:t>
      </w:r>
      <w:r w:rsidRPr="00A15111">
        <w:t>discussed MCU engagement in international cooperation and opportunities for</w:t>
      </w:r>
      <w:r w:rsidR="00967167" w:rsidRPr="00A15111">
        <w:t xml:space="preserve"> the future</w:t>
      </w:r>
      <w:r w:rsidRPr="00A15111">
        <w:t xml:space="preserve">, particularly in light of the SDGs. Information </w:t>
      </w:r>
      <w:r w:rsidR="00240C14" w:rsidRPr="00A15111">
        <w:t>from the roundtable discussion informs</w:t>
      </w:r>
      <w:r w:rsidRPr="00A15111">
        <w:t xml:space="preserve"> the analysis of opportunities for collective impact.   </w:t>
      </w:r>
    </w:p>
    <w:p w14:paraId="057944D2" w14:textId="77777777" w:rsidR="008E2AC4" w:rsidRPr="00A15111" w:rsidRDefault="003F7219" w:rsidP="001E2C93">
      <w:pPr>
        <w:pStyle w:val="Heading2"/>
      </w:pPr>
      <w:bookmarkStart w:id="8" w:name="_Toc462982527"/>
      <w:bookmarkStart w:id="9" w:name="_Toc462988901"/>
      <w:bookmarkStart w:id="10" w:name="_Toc463342148"/>
      <w:bookmarkStart w:id="11" w:name="_Toc467163279"/>
      <w:r w:rsidRPr="00A15111">
        <w:t>Sample of MCU</w:t>
      </w:r>
      <w:r w:rsidR="00967167" w:rsidRPr="00A15111">
        <w:t>s</w:t>
      </w:r>
      <w:bookmarkEnd w:id="8"/>
      <w:bookmarkEnd w:id="9"/>
      <w:bookmarkEnd w:id="10"/>
      <w:bookmarkEnd w:id="11"/>
    </w:p>
    <w:p w14:paraId="1851E038" w14:textId="2B48402F" w:rsidR="003F7219" w:rsidRPr="00A15111" w:rsidRDefault="003F7219" w:rsidP="003F7219">
      <w:r w:rsidRPr="00A15111">
        <w:t>A purposeful selection of MCU</w:t>
      </w:r>
      <w:r w:rsidR="008E2AC4" w:rsidRPr="00A15111">
        <w:t>s</w:t>
      </w:r>
      <w:r w:rsidRPr="00A15111">
        <w:t xml:space="preserve"> informs this report. In the case of municipalities, OCIC identified key metropolitan centres that reflect its membership base. In addition to specific municipalities, a number of municipal associations were also examined as means to assess overarching municipal priorities, as well as those specifically for northe</w:t>
      </w:r>
      <w:r w:rsidR="00240C14" w:rsidRPr="00A15111">
        <w:t xml:space="preserve">rn and rural communities. The review of municipal associations </w:t>
      </w:r>
      <w:r w:rsidR="00EC2F31" w:rsidRPr="00A15111">
        <w:t>serves as</w:t>
      </w:r>
      <w:r w:rsidR="00240C14" w:rsidRPr="00A15111">
        <w:t xml:space="preserve"> practical approach to assessing</w:t>
      </w:r>
      <w:r w:rsidRPr="00A15111">
        <w:t xml:space="preserve"> the priorities of smaller munic</w:t>
      </w:r>
      <w:r w:rsidR="00967167" w:rsidRPr="00A15111">
        <w:t>ipalities</w:t>
      </w:r>
      <w:r w:rsidR="00240C14" w:rsidRPr="00A15111">
        <w:t>;</w:t>
      </w:r>
      <w:r w:rsidR="00967167" w:rsidRPr="00A15111">
        <w:t xml:space="preserve"> it was outside the scope of the research project to examine all municipalities in which OCIC has an interest, particularly for northern and rural communities</w:t>
      </w:r>
      <w:r w:rsidRPr="00A15111">
        <w:t xml:space="preserve">. One region was also included in the sample – the Region of Waterloo – given its role in the management of the tri-city area – Kitchener, Waterloo and Cambridge. Table 1 provides a list of the municipalities and municipal associations examined. </w:t>
      </w:r>
    </w:p>
    <w:tbl>
      <w:tblPr>
        <w:tblStyle w:val="TableGrid"/>
        <w:tblW w:w="0" w:type="auto"/>
        <w:tblLook w:val="04A0" w:firstRow="1" w:lastRow="0" w:firstColumn="1" w:lastColumn="0" w:noHBand="0" w:noVBand="1"/>
      </w:tblPr>
      <w:tblGrid>
        <w:gridCol w:w="2405"/>
        <w:gridCol w:w="3472"/>
        <w:gridCol w:w="3473"/>
      </w:tblGrid>
      <w:tr w:rsidR="003F7219" w:rsidRPr="00A15111" w14:paraId="3D336D1C" w14:textId="77777777" w:rsidTr="00716DFE">
        <w:tc>
          <w:tcPr>
            <w:tcW w:w="9350" w:type="dxa"/>
            <w:gridSpan w:val="3"/>
            <w:shd w:val="clear" w:color="auto" w:fill="008D7F"/>
          </w:tcPr>
          <w:p w14:paraId="1813731A" w14:textId="5EBF8F2F" w:rsidR="003F7219" w:rsidRPr="00A15111" w:rsidRDefault="00122BE4" w:rsidP="003F7219">
            <w:pPr>
              <w:rPr>
                <w:b/>
                <w:color w:val="FFFFFF" w:themeColor="background1"/>
              </w:rPr>
            </w:pPr>
            <w:r>
              <w:rPr>
                <w:b/>
                <w:color w:val="FFFFFF" w:themeColor="background1"/>
              </w:rPr>
              <w:t>Table 1. Municipal Associations and Municipalities E</w:t>
            </w:r>
            <w:r w:rsidR="003F7219" w:rsidRPr="00A15111">
              <w:rPr>
                <w:b/>
                <w:color w:val="FFFFFF" w:themeColor="background1"/>
              </w:rPr>
              <w:t xml:space="preserve">xamined </w:t>
            </w:r>
          </w:p>
        </w:tc>
      </w:tr>
      <w:tr w:rsidR="003F7219" w:rsidRPr="00A15111" w14:paraId="3999773F" w14:textId="77777777" w:rsidTr="003F7219">
        <w:tc>
          <w:tcPr>
            <w:tcW w:w="2405" w:type="dxa"/>
          </w:tcPr>
          <w:p w14:paraId="78ED9BA4" w14:textId="77777777" w:rsidR="003F7219" w:rsidRPr="00A15111" w:rsidRDefault="003F7219" w:rsidP="003F7219">
            <w:r w:rsidRPr="00A15111">
              <w:t>Municipal associations</w:t>
            </w:r>
          </w:p>
        </w:tc>
        <w:tc>
          <w:tcPr>
            <w:tcW w:w="6945" w:type="dxa"/>
            <w:gridSpan w:val="2"/>
          </w:tcPr>
          <w:p w14:paraId="4E78E5ED" w14:textId="77777777" w:rsidR="001E2C93" w:rsidRPr="00A15111" w:rsidRDefault="001E2C93" w:rsidP="001E2C93">
            <w:pPr>
              <w:pStyle w:val="ListParagraph"/>
              <w:numPr>
                <w:ilvl w:val="0"/>
                <w:numId w:val="11"/>
              </w:numPr>
            </w:pPr>
            <w:r w:rsidRPr="00A15111">
              <w:t>Association of Municipalities Ontario</w:t>
            </w:r>
          </w:p>
          <w:p w14:paraId="0F199EFA" w14:textId="77777777" w:rsidR="001E2C93" w:rsidRPr="00A15111" w:rsidRDefault="001E2C93" w:rsidP="001E2C93">
            <w:pPr>
              <w:pStyle w:val="ListParagraph"/>
              <w:numPr>
                <w:ilvl w:val="0"/>
                <w:numId w:val="11"/>
              </w:numPr>
            </w:pPr>
            <w:r w:rsidRPr="00A15111">
              <w:t xml:space="preserve">Federation of Canadian Municipalities </w:t>
            </w:r>
          </w:p>
          <w:p w14:paraId="64F4832F" w14:textId="77777777" w:rsidR="001E2C93" w:rsidRPr="00A15111" w:rsidRDefault="001E2C93" w:rsidP="001E2C93">
            <w:pPr>
              <w:pStyle w:val="ListParagraph"/>
              <w:numPr>
                <w:ilvl w:val="0"/>
                <w:numId w:val="11"/>
              </w:numPr>
            </w:pPr>
            <w:r w:rsidRPr="00A15111">
              <w:t>Federation of Northern Ontario Municipalities</w:t>
            </w:r>
          </w:p>
          <w:p w14:paraId="13597BEB" w14:textId="77777777" w:rsidR="001E2C93" w:rsidRPr="00A15111" w:rsidRDefault="001E2C93" w:rsidP="001E2C93">
            <w:pPr>
              <w:pStyle w:val="ListParagraph"/>
              <w:numPr>
                <w:ilvl w:val="0"/>
                <w:numId w:val="11"/>
              </w:numPr>
            </w:pPr>
            <w:r w:rsidRPr="00A15111">
              <w:t>Northwestern Ontario Municipal Association</w:t>
            </w:r>
          </w:p>
          <w:p w14:paraId="6AF391AD" w14:textId="77777777" w:rsidR="003F7219" w:rsidRPr="00A15111" w:rsidRDefault="003F7219" w:rsidP="001E2C93">
            <w:pPr>
              <w:pStyle w:val="ListParagraph"/>
              <w:numPr>
                <w:ilvl w:val="0"/>
                <w:numId w:val="11"/>
              </w:numPr>
            </w:pPr>
            <w:r w:rsidRPr="00A15111">
              <w:t>Ontario Small Urban Municipalities</w:t>
            </w:r>
          </w:p>
          <w:p w14:paraId="1D28999A" w14:textId="77777777" w:rsidR="003F7219" w:rsidRPr="00A15111" w:rsidRDefault="003F7219" w:rsidP="001E2C93">
            <w:pPr>
              <w:pStyle w:val="ListParagraph"/>
              <w:numPr>
                <w:ilvl w:val="0"/>
                <w:numId w:val="11"/>
              </w:numPr>
            </w:pPr>
            <w:r w:rsidRPr="00A15111">
              <w:t>Rura</w:t>
            </w:r>
            <w:r w:rsidR="001E2C93" w:rsidRPr="00A15111">
              <w:t>l Ontario Municipal Association</w:t>
            </w:r>
          </w:p>
        </w:tc>
      </w:tr>
      <w:tr w:rsidR="001E2C93" w:rsidRPr="00A15111" w14:paraId="663CB429" w14:textId="77777777" w:rsidTr="009B78A5">
        <w:tc>
          <w:tcPr>
            <w:tcW w:w="2405" w:type="dxa"/>
          </w:tcPr>
          <w:p w14:paraId="4F807E9B" w14:textId="77777777" w:rsidR="001E2C93" w:rsidRPr="00A15111" w:rsidRDefault="001E2C93" w:rsidP="003F7219">
            <w:r w:rsidRPr="00A15111">
              <w:t xml:space="preserve">Municipalities </w:t>
            </w:r>
            <w:r w:rsidR="00967167" w:rsidRPr="00A15111">
              <w:t xml:space="preserve">and regions </w:t>
            </w:r>
          </w:p>
        </w:tc>
        <w:tc>
          <w:tcPr>
            <w:tcW w:w="3472" w:type="dxa"/>
          </w:tcPr>
          <w:p w14:paraId="0F85EE88" w14:textId="77777777" w:rsidR="001E2C93" w:rsidRPr="00A15111" w:rsidRDefault="001E2C93" w:rsidP="001E2C93">
            <w:pPr>
              <w:pStyle w:val="ListParagraph"/>
              <w:numPr>
                <w:ilvl w:val="0"/>
                <w:numId w:val="10"/>
              </w:numPr>
            </w:pPr>
            <w:r w:rsidRPr="00A15111">
              <w:t>City of Cambridge</w:t>
            </w:r>
          </w:p>
          <w:p w14:paraId="201C924D" w14:textId="77777777" w:rsidR="001E2C93" w:rsidRPr="00A15111" w:rsidRDefault="001E2C93" w:rsidP="001E2C93">
            <w:pPr>
              <w:pStyle w:val="ListParagraph"/>
              <w:numPr>
                <w:ilvl w:val="0"/>
                <w:numId w:val="10"/>
              </w:numPr>
            </w:pPr>
            <w:r w:rsidRPr="00A15111">
              <w:t xml:space="preserve">City of Greater Sudbury </w:t>
            </w:r>
          </w:p>
          <w:p w14:paraId="032564F9" w14:textId="77777777" w:rsidR="001E2C93" w:rsidRPr="00A15111" w:rsidRDefault="001E2C93" w:rsidP="001E2C93">
            <w:pPr>
              <w:pStyle w:val="ListParagraph"/>
              <w:numPr>
                <w:ilvl w:val="0"/>
                <w:numId w:val="10"/>
              </w:numPr>
            </w:pPr>
            <w:r w:rsidRPr="00A15111">
              <w:t>City of Guelph</w:t>
            </w:r>
          </w:p>
          <w:p w14:paraId="4C9F657F" w14:textId="77777777" w:rsidR="001E2C93" w:rsidRPr="00A15111" w:rsidRDefault="001E2C93" w:rsidP="001E2C93">
            <w:pPr>
              <w:pStyle w:val="ListParagraph"/>
              <w:numPr>
                <w:ilvl w:val="0"/>
                <w:numId w:val="10"/>
              </w:numPr>
            </w:pPr>
            <w:r w:rsidRPr="00A15111">
              <w:t>City of Kingston</w:t>
            </w:r>
          </w:p>
          <w:p w14:paraId="1A058618" w14:textId="77777777" w:rsidR="001E2C93" w:rsidRPr="00A15111" w:rsidRDefault="001E2C93" w:rsidP="001E2C93">
            <w:pPr>
              <w:pStyle w:val="ListParagraph"/>
              <w:numPr>
                <w:ilvl w:val="0"/>
                <w:numId w:val="10"/>
              </w:numPr>
            </w:pPr>
            <w:r w:rsidRPr="00A15111">
              <w:t>City of Kitchener</w:t>
            </w:r>
          </w:p>
          <w:p w14:paraId="60F5FFBD" w14:textId="77777777" w:rsidR="001E2C93" w:rsidRPr="00A15111" w:rsidRDefault="001E2C93" w:rsidP="001E2C93">
            <w:pPr>
              <w:pStyle w:val="ListParagraph"/>
              <w:numPr>
                <w:ilvl w:val="0"/>
                <w:numId w:val="10"/>
              </w:numPr>
            </w:pPr>
            <w:r w:rsidRPr="00A15111">
              <w:t>City of London</w:t>
            </w:r>
          </w:p>
          <w:p w14:paraId="5860D844" w14:textId="77777777" w:rsidR="001E2C93" w:rsidRPr="00A15111" w:rsidRDefault="001E2C93" w:rsidP="001E2C93">
            <w:pPr>
              <w:pStyle w:val="ListParagraph"/>
              <w:numPr>
                <w:ilvl w:val="0"/>
                <w:numId w:val="10"/>
              </w:numPr>
            </w:pPr>
            <w:r w:rsidRPr="00A15111">
              <w:t>City of Ottawa</w:t>
            </w:r>
          </w:p>
        </w:tc>
        <w:tc>
          <w:tcPr>
            <w:tcW w:w="3473" w:type="dxa"/>
          </w:tcPr>
          <w:p w14:paraId="1655840B" w14:textId="77777777" w:rsidR="001E2C93" w:rsidRPr="00A15111" w:rsidRDefault="001E2C93" w:rsidP="001E2C93">
            <w:pPr>
              <w:pStyle w:val="ListParagraph"/>
              <w:numPr>
                <w:ilvl w:val="0"/>
                <w:numId w:val="10"/>
              </w:numPr>
            </w:pPr>
            <w:r w:rsidRPr="00A15111">
              <w:t>City of Peterborough</w:t>
            </w:r>
          </w:p>
          <w:p w14:paraId="69B75D94" w14:textId="77777777" w:rsidR="001E2C93" w:rsidRPr="00A15111" w:rsidRDefault="001E2C93" w:rsidP="001E2C93">
            <w:pPr>
              <w:pStyle w:val="ListParagraph"/>
              <w:numPr>
                <w:ilvl w:val="0"/>
                <w:numId w:val="10"/>
              </w:numPr>
            </w:pPr>
            <w:r w:rsidRPr="00A15111">
              <w:t>City of Toronto</w:t>
            </w:r>
          </w:p>
          <w:p w14:paraId="3A8DF0D3" w14:textId="77777777" w:rsidR="001E2C93" w:rsidRPr="00A15111" w:rsidRDefault="001E2C93" w:rsidP="001E2C93">
            <w:pPr>
              <w:pStyle w:val="ListParagraph"/>
              <w:numPr>
                <w:ilvl w:val="0"/>
                <w:numId w:val="10"/>
              </w:numPr>
            </w:pPr>
            <w:r w:rsidRPr="00A15111">
              <w:t>City of Thunder Bay</w:t>
            </w:r>
          </w:p>
          <w:p w14:paraId="725CA45E" w14:textId="77777777" w:rsidR="001E2C93" w:rsidRPr="00A15111" w:rsidRDefault="001E2C93" w:rsidP="001E2C93">
            <w:pPr>
              <w:pStyle w:val="ListParagraph"/>
              <w:numPr>
                <w:ilvl w:val="0"/>
                <w:numId w:val="10"/>
              </w:numPr>
            </w:pPr>
            <w:r w:rsidRPr="00A15111">
              <w:t>City of Waterloo</w:t>
            </w:r>
          </w:p>
          <w:p w14:paraId="671AA28E" w14:textId="77777777" w:rsidR="001E2C93" w:rsidRPr="00A15111" w:rsidRDefault="001E2C93" w:rsidP="001E2C93">
            <w:pPr>
              <w:pStyle w:val="ListParagraph"/>
              <w:numPr>
                <w:ilvl w:val="0"/>
                <w:numId w:val="10"/>
              </w:numPr>
            </w:pPr>
            <w:r w:rsidRPr="00A15111">
              <w:t xml:space="preserve">City of Windsor </w:t>
            </w:r>
          </w:p>
          <w:p w14:paraId="03DB1DE5" w14:textId="77777777" w:rsidR="001E2C93" w:rsidRPr="00A15111" w:rsidRDefault="001E2C93" w:rsidP="001E2C93">
            <w:pPr>
              <w:pStyle w:val="ListParagraph"/>
              <w:numPr>
                <w:ilvl w:val="0"/>
                <w:numId w:val="10"/>
              </w:numPr>
            </w:pPr>
            <w:r w:rsidRPr="00A15111">
              <w:t>Region of Waterloo</w:t>
            </w:r>
          </w:p>
          <w:p w14:paraId="08169AC9" w14:textId="77777777" w:rsidR="001E2C93" w:rsidRPr="00A15111" w:rsidRDefault="001E2C93" w:rsidP="003F7219"/>
        </w:tc>
      </w:tr>
    </w:tbl>
    <w:p w14:paraId="41D86A00" w14:textId="77777777" w:rsidR="00967167" w:rsidRPr="00A15111" w:rsidRDefault="00967167" w:rsidP="00967167">
      <w:pPr>
        <w:spacing w:after="0"/>
      </w:pPr>
    </w:p>
    <w:p w14:paraId="26676B6D" w14:textId="77AF1D03" w:rsidR="00383EAF" w:rsidRPr="00A15111" w:rsidRDefault="001E2C93" w:rsidP="003F7219">
      <w:r w:rsidRPr="00A15111">
        <w:t xml:space="preserve">The starting point for the </w:t>
      </w:r>
      <w:r w:rsidR="00240C14" w:rsidRPr="00A15111">
        <w:t xml:space="preserve">selection of Ontario </w:t>
      </w:r>
      <w:r w:rsidRPr="00A15111">
        <w:t xml:space="preserve">colleges and universities was membership in the Canadian Consortium of University Programs in International Development Studies (CCUPIDS). CCUPIDS is a group of instructors and coordinators associated with </w:t>
      </w:r>
      <w:r w:rsidR="003E5ABB" w:rsidRPr="00A15111">
        <w:t>international development studies (IDS)</w:t>
      </w:r>
      <w:r w:rsidRPr="00A15111">
        <w:t xml:space="preserve"> programs in Canadian universities. Established in 1995, CCUPIDS aims to strengthen the position of I</w:t>
      </w:r>
      <w:r w:rsidR="00240C14" w:rsidRPr="00A15111">
        <w:t xml:space="preserve">DS </w:t>
      </w:r>
      <w:r w:rsidRPr="00A15111">
        <w:t>p</w:t>
      </w:r>
      <w:r w:rsidR="00240C14" w:rsidRPr="00A15111">
        <w:t>rograms in Canadian institutions</w:t>
      </w:r>
      <w:r w:rsidRPr="00A15111">
        <w:t xml:space="preserve">. It supports dialogue and collaborative efforts across programs. </w:t>
      </w:r>
      <w:r w:rsidR="00240C14" w:rsidRPr="00A15111">
        <w:t xml:space="preserve">The examination of CCUPIDS members was based on </w:t>
      </w:r>
      <w:r w:rsidR="003B46E4" w:rsidRPr="00A15111">
        <w:t>the assumption that colleges and unive</w:t>
      </w:r>
      <w:r w:rsidR="00240C14" w:rsidRPr="00A15111">
        <w:t>rsities with IDS</w:t>
      </w:r>
      <w:r w:rsidR="003B46E4" w:rsidRPr="00A15111">
        <w:t xml:space="preserve"> or related </w:t>
      </w:r>
      <w:r w:rsidR="003B46E4" w:rsidRPr="00A15111">
        <w:lastRenderedPageBreak/>
        <w:t xml:space="preserve">programs </w:t>
      </w:r>
      <w:r w:rsidR="00240C14" w:rsidRPr="00A15111">
        <w:t xml:space="preserve">are </w:t>
      </w:r>
      <w:r w:rsidR="003B46E4" w:rsidRPr="00A15111">
        <w:t xml:space="preserve">more likely to </w:t>
      </w:r>
      <w:r w:rsidR="00240C14" w:rsidRPr="00A15111">
        <w:t>be e</w:t>
      </w:r>
      <w:r w:rsidR="003B46E4" w:rsidRPr="00A15111">
        <w:t>ngage</w:t>
      </w:r>
      <w:r w:rsidR="00240C14" w:rsidRPr="00A15111">
        <w:t>d</w:t>
      </w:r>
      <w:r w:rsidR="003B46E4" w:rsidRPr="00A15111">
        <w:t xml:space="preserve"> on</w:t>
      </w:r>
      <w:r w:rsidR="00967167" w:rsidRPr="00A15111">
        <w:t xml:space="preserve"> the SDGs and</w:t>
      </w:r>
      <w:r w:rsidR="003B46E4" w:rsidRPr="00A15111">
        <w:t xml:space="preserve"> </w:t>
      </w:r>
      <w:r w:rsidR="00240C14" w:rsidRPr="00A15111">
        <w:t xml:space="preserve">in </w:t>
      </w:r>
      <w:r w:rsidR="003B46E4" w:rsidRPr="00A15111">
        <w:t xml:space="preserve">international </w:t>
      </w:r>
      <w:r w:rsidR="00967167" w:rsidRPr="00A15111">
        <w:t>cooperation</w:t>
      </w:r>
      <w:r w:rsidR="003B46E4" w:rsidRPr="00A15111">
        <w:t xml:space="preserve"> given the</w:t>
      </w:r>
      <w:r w:rsidR="00240C14" w:rsidRPr="00A15111">
        <w:t>ir</w:t>
      </w:r>
      <w:r w:rsidR="003B46E4" w:rsidRPr="00A15111">
        <w:t xml:space="preserve"> substantive </w:t>
      </w:r>
      <w:r w:rsidR="00EC2F31" w:rsidRPr="00A15111">
        <w:t>focus</w:t>
      </w:r>
      <w:r w:rsidR="003B46E4" w:rsidRPr="00A15111">
        <w:t xml:space="preserve">. </w:t>
      </w:r>
    </w:p>
    <w:p w14:paraId="6890FDE0" w14:textId="66B2FDCA" w:rsidR="003E5ABB" w:rsidRPr="00A15111" w:rsidRDefault="003B46E4" w:rsidP="003F7219">
      <w:r w:rsidRPr="00A15111">
        <w:t>In ad</w:t>
      </w:r>
      <w:r w:rsidR="00383EAF" w:rsidRPr="00A15111">
        <w:t>dition to</w:t>
      </w:r>
      <w:r w:rsidRPr="00A15111">
        <w:t xml:space="preserve"> CCUPIDS members, the research included </w:t>
      </w:r>
      <w:r w:rsidR="00383EAF" w:rsidRPr="00A15111">
        <w:t>all other colleges and universities located in the municipalities examined, regardless of whether they have an IDS program. These institutions were included for several reasons. First, in the</w:t>
      </w:r>
      <w:r w:rsidR="00E4004A" w:rsidRPr="00A15111">
        <w:t xml:space="preserve"> second phase of the initiative</w:t>
      </w:r>
      <w:r w:rsidR="00383EAF" w:rsidRPr="00A15111">
        <w:t xml:space="preserve"> there</w:t>
      </w:r>
      <w:r w:rsidR="00240C14" w:rsidRPr="00A15111">
        <w:t xml:space="preserve"> is </w:t>
      </w:r>
      <w:r w:rsidR="00383EAF" w:rsidRPr="00A15111">
        <w:t>an opportunity for OCIC to engage w</w:t>
      </w:r>
      <w:r w:rsidR="00240C14" w:rsidRPr="00A15111">
        <w:t>ith a wide range of stakeholders</w:t>
      </w:r>
      <w:r w:rsidR="00383EAF" w:rsidRPr="00A15111">
        <w:t>, including colleges and universities that do not have IDS programs. Second, many colleges and universi</w:t>
      </w:r>
      <w:r w:rsidR="00967167" w:rsidRPr="00A15111">
        <w:t>ties engage in international co</w:t>
      </w:r>
      <w:r w:rsidR="00383EAF" w:rsidRPr="00A15111">
        <w:t xml:space="preserve">operation through programs that are not captured by CCUPIDS, such as geography, international affairs, public administration, political science, engineering, sociology, </w:t>
      </w:r>
      <w:r w:rsidR="00383EAF" w:rsidRPr="00A15111">
        <w:rPr>
          <w:i/>
        </w:rPr>
        <w:t>inter alia</w:t>
      </w:r>
      <w:r w:rsidR="00967167" w:rsidRPr="00A15111">
        <w:t xml:space="preserve">. </w:t>
      </w:r>
      <w:r w:rsidR="00383EAF" w:rsidRPr="00A15111">
        <w:t xml:space="preserve">OCIC is keen to identify opportunities for collaboration with academic institutions beyond IDS departments. </w:t>
      </w:r>
    </w:p>
    <w:p w14:paraId="1D686CF1" w14:textId="3AB90471" w:rsidR="00A75818" w:rsidRPr="00A15111" w:rsidRDefault="00383EAF" w:rsidP="003F7219">
      <w:r w:rsidRPr="00A15111">
        <w:t>To examine the</w:t>
      </w:r>
      <w:r w:rsidR="003E5ABB" w:rsidRPr="00A15111">
        <w:t>s</w:t>
      </w:r>
      <w:r w:rsidRPr="00A15111">
        <w:t>e institutions, the review looked at</w:t>
      </w:r>
      <w:r w:rsidR="003B46E4" w:rsidRPr="00A15111">
        <w:t xml:space="preserve"> activities supported by college and university international centres</w:t>
      </w:r>
      <w:r w:rsidR="00967167" w:rsidRPr="00A15111">
        <w:t xml:space="preserve"> and programs</w:t>
      </w:r>
      <w:r w:rsidR="003B46E4" w:rsidRPr="00A15111">
        <w:t>, such as student exchanges, internships and international research projects.</w:t>
      </w:r>
      <w:r w:rsidR="003E5ABB" w:rsidRPr="00A15111">
        <w:t xml:space="preserve"> This same analysis was also conducted for</w:t>
      </w:r>
      <w:r w:rsidRPr="00A15111">
        <w:t xml:space="preserve"> CCUPIDS</w:t>
      </w:r>
      <w:r w:rsidR="003E5ABB" w:rsidRPr="00A15111">
        <w:t xml:space="preserve"> members to ensure consistency. T</w:t>
      </w:r>
      <w:r w:rsidR="003B46E4" w:rsidRPr="00A15111">
        <w:t xml:space="preserve">he </w:t>
      </w:r>
      <w:r w:rsidRPr="00A15111">
        <w:t>focus on</w:t>
      </w:r>
      <w:r w:rsidR="003B46E4" w:rsidRPr="00A15111">
        <w:t xml:space="preserve"> international centres</w:t>
      </w:r>
      <w:r w:rsidR="00967167" w:rsidRPr="00A15111">
        <w:t xml:space="preserve"> and programs</w:t>
      </w:r>
      <w:r w:rsidR="003B46E4" w:rsidRPr="00A15111">
        <w:t xml:space="preserve"> </w:t>
      </w:r>
      <w:r w:rsidR="003E5ABB" w:rsidRPr="00A15111">
        <w:t xml:space="preserve">was purposeful. It was outside the scope of the research in terms of </w:t>
      </w:r>
      <w:r w:rsidR="00240C14" w:rsidRPr="00A15111">
        <w:t>resources</w:t>
      </w:r>
      <w:r w:rsidR="003E5ABB" w:rsidRPr="00A15111">
        <w:t xml:space="preserve"> and timelines to examine all possible departments at colleges and universities that may engage in international cooperation. For example, Carleton University’s Norman Paterson School of International Affairs carries out research, engages the public and provides student programming on international development. Engineering departments </w:t>
      </w:r>
      <w:r w:rsidR="00240C14" w:rsidRPr="00A15111">
        <w:t xml:space="preserve">are also </w:t>
      </w:r>
      <w:r w:rsidR="003E5ABB" w:rsidRPr="00A15111">
        <w:t xml:space="preserve">often </w:t>
      </w:r>
      <w:r w:rsidR="00FA4107" w:rsidRPr="00A15111">
        <w:t>engaged i</w:t>
      </w:r>
      <w:r w:rsidR="003E5ABB" w:rsidRPr="00A15111">
        <w:t>n</w:t>
      </w:r>
      <w:r w:rsidR="00FA4107" w:rsidRPr="00A15111">
        <w:t xml:space="preserve"> international cooperation</w:t>
      </w:r>
      <w:r w:rsidR="003E5ABB" w:rsidRPr="00A15111">
        <w:t>.</w:t>
      </w:r>
      <w:r w:rsidR="00A75818" w:rsidRPr="00A15111">
        <w:t xml:space="preserve"> </w:t>
      </w:r>
      <w:r w:rsidR="00240C14" w:rsidRPr="00A15111">
        <w:t>I</w:t>
      </w:r>
      <w:r w:rsidR="003E5ABB" w:rsidRPr="00A15111">
        <w:t xml:space="preserve">nternational centres </w:t>
      </w:r>
      <w:r w:rsidR="00FA4107" w:rsidRPr="00A15111">
        <w:t xml:space="preserve">and programs </w:t>
      </w:r>
      <w:r w:rsidR="003E5ABB" w:rsidRPr="00A15111">
        <w:t>were examined as a</w:t>
      </w:r>
      <w:r w:rsidR="003B46E4" w:rsidRPr="00A15111">
        <w:t xml:space="preserve"> proxy for overall</w:t>
      </w:r>
      <w:r w:rsidRPr="00A15111">
        <w:t xml:space="preserve"> activities related to </w:t>
      </w:r>
      <w:r w:rsidR="003E5ABB" w:rsidRPr="00A15111">
        <w:t>international</w:t>
      </w:r>
      <w:r w:rsidRPr="00A15111">
        <w:t xml:space="preserve"> </w:t>
      </w:r>
      <w:r w:rsidR="003E5ABB" w:rsidRPr="00A15111">
        <w:t>cooperation</w:t>
      </w:r>
      <w:r w:rsidR="00240C14" w:rsidRPr="00A15111">
        <w:t>. This approach provide</w:t>
      </w:r>
      <w:r w:rsidR="00A75818" w:rsidRPr="00A15111">
        <w:t>s a baseline from which further opportunities can be explored</w:t>
      </w:r>
      <w:r w:rsidR="00FA4107" w:rsidRPr="00A15111">
        <w:t xml:space="preserve"> </w:t>
      </w:r>
      <w:r w:rsidR="00240C14" w:rsidRPr="00A15111">
        <w:t xml:space="preserve">with a range of college and university departments </w:t>
      </w:r>
      <w:r w:rsidR="00FA4107" w:rsidRPr="00A15111">
        <w:t>in phase two of the initiative</w:t>
      </w:r>
      <w:r w:rsidR="00A75818" w:rsidRPr="00A15111">
        <w:t>.</w:t>
      </w:r>
    </w:p>
    <w:p w14:paraId="4A2828F9" w14:textId="1C47DDBD" w:rsidR="00ED4A67" w:rsidRPr="00A15111" w:rsidRDefault="00282CBC" w:rsidP="003F7219">
      <w:r w:rsidRPr="00A15111">
        <w:t xml:space="preserve">Finally, a number of university </w:t>
      </w:r>
      <w:r w:rsidR="00A75818" w:rsidRPr="00A15111">
        <w:t>colleges were included</w:t>
      </w:r>
      <w:r w:rsidRPr="00A15111">
        <w:t xml:space="preserve"> in the sample. Some university </w:t>
      </w:r>
      <w:r w:rsidR="00A75818" w:rsidRPr="00A15111">
        <w:t>colleges are members of OCIC</w:t>
      </w:r>
      <w:r w:rsidR="003756A0" w:rsidRPr="00A15111">
        <w:t xml:space="preserve"> or have engaged with OCIC in the past. These institutions</w:t>
      </w:r>
      <w:r w:rsidR="00A75818" w:rsidRPr="00A15111">
        <w:t xml:space="preserve"> present opportunities for </w:t>
      </w:r>
      <w:r w:rsidR="003756A0" w:rsidRPr="00A15111">
        <w:t xml:space="preserve">future </w:t>
      </w:r>
      <w:r w:rsidR="00A75818" w:rsidRPr="00A15111">
        <w:t>collaboration</w:t>
      </w:r>
      <w:r w:rsidR="003756A0" w:rsidRPr="00A15111">
        <w:t xml:space="preserve"> owing to existing relationships, and as such were included</w:t>
      </w:r>
      <w:r w:rsidR="00FA4107" w:rsidRPr="00A15111">
        <w:t>.</w:t>
      </w:r>
      <w:r w:rsidR="003756A0" w:rsidRPr="00A15111">
        <w:t xml:space="preserve"> </w:t>
      </w:r>
    </w:p>
    <w:p w14:paraId="01B8C6FB" w14:textId="77777777" w:rsidR="00ED4A67" w:rsidRPr="00A15111" w:rsidRDefault="00A75818" w:rsidP="003F7219">
      <w:r w:rsidRPr="00A15111">
        <w:t>Table 2 provides a list of the colleges and universities examined and their location.</w:t>
      </w:r>
      <w:r w:rsidR="00164883" w:rsidRPr="00A15111">
        <w:t xml:space="preserve"> </w:t>
      </w:r>
      <w:r w:rsidR="00ED4A67" w:rsidRPr="00A15111">
        <w:t xml:space="preserve">In total, </w:t>
      </w:r>
      <w:r w:rsidR="001574FE" w:rsidRPr="00A15111">
        <w:t>3</w:t>
      </w:r>
      <w:r w:rsidR="00164883" w:rsidRPr="00A15111">
        <w:t>3</w:t>
      </w:r>
      <w:r w:rsidR="001574FE" w:rsidRPr="00A15111">
        <w:t xml:space="preserve"> academic institutions</w:t>
      </w:r>
      <w:r w:rsidR="00FA4107" w:rsidRPr="00A15111">
        <w:t xml:space="preserve"> were examined</w:t>
      </w:r>
      <w:r w:rsidR="001574FE" w:rsidRPr="00A15111">
        <w:t>: 1</w:t>
      </w:r>
      <w:r w:rsidR="00164883" w:rsidRPr="00A15111">
        <w:t>4</w:t>
      </w:r>
      <w:r w:rsidR="001574FE" w:rsidRPr="00A15111">
        <w:t xml:space="preserve"> colleges, 15</w:t>
      </w:r>
      <w:r w:rsidR="00FA4107" w:rsidRPr="00A15111">
        <w:t xml:space="preserve"> universities and 4 university </w:t>
      </w:r>
      <w:r w:rsidR="00ED4A67" w:rsidRPr="00A15111">
        <w:t xml:space="preserve">colleges. </w:t>
      </w:r>
      <w:r w:rsidR="001574FE" w:rsidRPr="00A15111">
        <w:t xml:space="preserve">The sample includes </w:t>
      </w:r>
      <w:r w:rsidR="00164883" w:rsidRPr="00A15111">
        <w:t>70% of Ontario’s</w:t>
      </w:r>
      <w:r w:rsidR="001574FE" w:rsidRPr="00A15111">
        <w:t xml:space="preserve"> </w:t>
      </w:r>
      <w:r w:rsidR="00FA4107" w:rsidRPr="00A15111">
        <w:t xml:space="preserve">46 </w:t>
      </w:r>
      <w:r w:rsidR="001574FE" w:rsidRPr="00A15111">
        <w:t>public</w:t>
      </w:r>
      <w:r w:rsidR="00164883" w:rsidRPr="00A15111">
        <w:t>ly funded</w:t>
      </w:r>
      <w:r w:rsidR="001574FE" w:rsidRPr="00A15111">
        <w:t xml:space="preserve"> universities </w:t>
      </w:r>
      <w:r w:rsidR="00FA4107" w:rsidRPr="00A15111">
        <w:t xml:space="preserve">(22) </w:t>
      </w:r>
      <w:r w:rsidR="001574FE" w:rsidRPr="00A15111">
        <w:t>and colleges</w:t>
      </w:r>
      <w:r w:rsidR="00FA4107" w:rsidRPr="00A15111">
        <w:t xml:space="preserve"> (24)</w:t>
      </w:r>
      <w:r w:rsidR="00164883" w:rsidRPr="00A15111">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697"/>
        <w:gridCol w:w="1445"/>
        <w:gridCol w:w="1696"/>
      </w:tblGrid>
      <w:tr w:rsidR="00ED4A67" w:rsidRPr="00A15111" w14:paraId="7218D05E" w14:textId="77777777" w:rsidTr="00716DFE">
        <w:trPr>
          <w:trHeight w:val="20"/>
          <w:tblHeader/>
        </w:trPr>
        <w:tc>
          <w:tcPr>
            <w:tcW w:w="9067" w:type="dxa"/>
            <w:gridSpan w:val="4"/>
            <w:shd w:val="clear" w:color="auto" w:fill="008D7F"/>
            <w:vAlign w:val="bottom"/>
          </w:tcPr>
          <w:p w14:paraId="28B63B97" w14:textId="30AD8B2D" w:rsidR="00ED4A67" w:rsidRPr="00A15111" w:rsidRDefault="00BE6D9E" w:rsidP="00A75818">
            <w:pPr>
              <w:spacing w:after="0" w:line="240" w:lineRule="auto"/>
              <w:rPr>
                <w:rFonts w:eastAsia="Times New Roman" w:cs="Calibri"/>
                <w:b/>
                <w:color w:val="000000"/>
                <w:lang w:eastAsia="en-CA"/>
              </w:rPr>
            </w:pPr>
            <w:r w:rsidRPr="00A15111">
              <w:rPr>
                <w:rFonts w:eastAsia="Times New Roman" w:cs="Calibri"/>
                <w:b/>
                <w:color w:val="FFFFFF" w:themeColor="background1"/>
                <w:lang w:eastAsia="en-CA"/>
              </w:rPr>
              <w:t>Table 2. Colleges and Universities E</w:t>
            </w:r>
            <w:r w:rsidR="00ED4A67" w:rsidRPr="00A15111">
              <w:rPr>
                <w:rFonts w:eastAsia="Times New Roman" w:cs="Calibri"/>
                <w:b/>
                <w:color w:val="FFFFFF" w:themeColor="background1"/>
                <w:lang w:eastAsia="en-CA"/>
              </w:rPr>
              <w:t>xamined</w:t>
            </w:r>
          </w:p>
        </w:tc>
      </w:tr>
      <w:tr w:rsidR="00ED4A67" w:rsidRPr="00A15111" w14:paraId="323146E7" w14:textId="77777777" w:rsidTr="00716DFE">
        <w:trPr>
          <w:trHeight w:val="20"/>
          <w:tblHeader/>
        </w:trPr>
        <w:tc>
          <w:tcPr>
            <w:tcW w:w="4248" w:type="dxa"/>
            <w:shd w:val="clear" w:color="auto" w:fill="008D7F"/>
            <w:vAlign w:val="bottom"/>
          </w:tcPr>
          <w:p w14:paraId="3CFEA60D" w14:textId="77777777" w:rsidR="00ED4A67" w:rsidRPr="00A15111" w:rsidRDefault="00ED4A67" w:rsidP="00ED4A67">
            <w:pPr>
              <w:spacing w:after="0" w:line="240" w:lineRule="auto"/>
              <w:rPr>
                <w:rFonts w:eastAsia="Times New Roman" w:cs="Calibri"/>
                <w:color w:val="FFFFFF" w:themeColor="background1"/>
                <w:lang w:eastAsia="en-CA"/>
              </w:rPr>
            </w:pPr>
            <w:r w:rsidRPr="00A15111">
              <w:rPr>
                <w:rFonts w:eastAsia="Times New Roman" w:cs="Calibri"/>
                <w:color w:val="FFFFFF" w:themeColor="background1"/>
                <w:lang w:eastAsia="en-CA"/>
              </w:rPr>
              <w:t>Name</w:t>
            </w:r>
          </w:p>
        </w:tc>
        <w:tc>
          <w:tcPr>
            <w:tcW w:w="1701" w:type="dxa"/>
            <w:shd w:val="clear" w:color="auto" w:fill="008D7F"/>
          </w:tcPr>
          <w:p w14:paraId="10351CF6" w14:textId="77777777" w:rsidR="00ED4A67" w:rsidRPr="00A15111" w:rsidRDefault="00ED4A67" w:rsidP="00ED4A67">
            <w:pPr>
              <w:spacing w:after="0" w:line="240" w:lineRule="auto"/>
              <w:rPr>
                <w:rFonts w:eastAsia="Times New Roman" w:cs="Calibri"/>
                <w:color w:val="FFFFFF" w:themeColor="background1"/>
                <w:lang w:eastAsia="en-CA"/>
              </w:rPr>
            </w:pPr>
            <w:r w:rsidRPr="00A15111">
              <w:rPr>
                <w:rFonts w:eastAsia="Times New Roman" w:cs="Calibri"/>
                <w:color w:val="FFFFFF" w:themeColor="background1"/>
                <w:lang w:eastAsia="en-CA"/>
              </w:rPr>
              <w:t>Institution type</w:t>
            </w:r>
          </w:p>
        </w:tc>
        <w:tc>
          <w:tcPr>
            <w:tcW w:w="1417" w:type="dxa"/>
            <w:shd w:val="clear" w:color="auto" w:fill="008D7F"/>
            <w:vAlign w:val="bottom"/>
          </w:tcPr>
          <w:p w14:paraId="60A4D3D8" w14:textId="77777777" w:rsidR="00ED4A67" w:rsidRPr="00A15111" w:rsidRDefault="00ED4A67" w:rsidP="00ED4A67">
            <w:pPr>
              <w:spacing w:after="0" w:line="240" w:lineRule="auto"/>
              <w:rPr>
                <w:rFonts w:eastAsia="Times New Roman" w:cs="Calibri"/>
                <w:color w:val="FFFFFF" w:themeColor="background1"/>
                <w:lang w:eastAsia="en-CA"/>
              </w:rPr>
            </w:pPr>
            <w:r w:rsidRPr="00A15111">
              <w:rPr>
                <w:rFonts w:eastAsia="Times New Roman" w:cs="Calibri"/>
                <w:color w:val="FFFFFF" w:themeColor="background1"/>
                <w:lang w:eastAsia="en-CA"/>
              </w:rPr>
              <w:t xml:space="preserve">Location </w:t>
            </w:r>
          </w:p>
        </w:tc>
        <w:tc>
          <w:tcPr>
            <w:tcW w:w="1701" w:type="dxa"/>
            <w:shd w:val="clear" w:color="auto" w:fill="008D7F"/>
          </w:tcPr>
          <w:p w14:paraId="2E5FF470" w14:textId="77777777" w:rsidR="00ED4A67" w:rsidRPr="00A15111" w:rsidRDefault="00ED4A67" w:rsidP="00ED4A67">
            <w:pPr>
              <w:spacing w:after="0" w:line="240" w:lineRule="auto"/>
              <w:rPr>
                <w:rFonts w:eastAsia="Times New Roman" w:cs="Calibri"/>
                <w:color w:val="FFFFFF" w:themeColor="background1"/>
                <w:lang w:eastAsia="en-CA"/>
              </w:rPr>
            </w:pPr>
            <w:r w:rsidRPr="00A15111">
              <w:rPr>
                <w:rFonts w:eastAsia="Times New Roman" w:cs="Calibri"/>
                <w:color w:val="FFFFFF" w:themeColor="background1"/>
                <w:lang w:eastAsia="en-CA"/>
              </w:rPr>
              <w:t>CCUPIDS member</w:t>
            </w:r>
          </w:p>
        </w:tc>
      </w:tr>
      <w:tr w:rsidR="00ED4A67" w:rsidRPr="00A15111" w14:paraId="2586B285" w14:textId="77777777" w:rsidTr="00ED4A67">
        <w:trPr>
          <w:trHeight w:val="20"/>
        </w:trPr>
        <w:tc>
          <w:tcPr>
            <w:tcW w:w="4248" w:type="dxa"/>
            <w:shd w:val="clear" w:color="auto" w:fill="auto"/>
            <w:vAlign w:val="bottom"/>
          </w:tcPr>
          <w:p w14:paraId="2779DA12"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Algonquin College</w:t>
            </w:r>
          </w:p>
        </w:tc>
        <w:tc>
          <w:tcPr>
            <w:tcW w:w="1701" w:type="dxa"/>
          </w:tcPr>
          <w:p w14:paraId="08AFA95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55FFA54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Ottawa</w:t>
            </w:r>
          </w:p>
        </w:tc>
        <w:tc>
          <w:tcPr>
            <w:tcW w:w="1701" w:type="dxa"/>
          </w:tcPr>
          <w:p w14:paraId="4B7368C2"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5DF41A3D" w14:textId="77777777" w:rsidTr="00ED4A67">
        <w:trPr>
          <w:trHeight w:val="20"/>
        </w:trPr>
        <w:tc>
          <w:tcPr>
            <w:tcW w:w="4248" w:type="dxa"/>
            <w:shd w:val="clear" w:color="auto" w:fill="auto"/>
            <w:vAlign w:val="bottom"/>
          </w:tcPr>
          <w:p w14:paraId="3B7B5C3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Cambrian College</w:t>
            </w:r>
          </w:p>
        </w:tc>
        <w:tc>
          <w:tcPr>
            <w:tcW w:w="1701" w:type="dxa"/>
          </w:tcPr>
          <w:p w14:paraId="068D001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6A49845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Sudbury </w:t>
            </w:r>
          </w:p>
        </w:tc>
        <w:tc>
          <w:tcPr>
            <w:tcW w:w="1701" w:type="dxa"/>
          </w:tcPr>
          <w:p w14:paraId="2165EAF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6853CAE9" w14:textId="77777777" w:rsidTr="00ED4A67">
        <w:trPr>
          <w:trHeight w:val="20"/>
        </w:trPr>
        <w:tc>
          <w:tcPr>
            <w:tcW w:w="4248" w:type="dxa"/>
            <w:shd w:val="clear" w:color="auto" w:fill="auto"/>
            <w:vAlign w:val="bottom"/>
          </w:tcPr>
          <w:p w14:paraId="789F7072"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Carleton University</w:t>
            </w:r>
          </w:p>
        </w:tc>
        <w:tc>
          <w:tcPr>
            <w:tcW w:w="1701" w:type="dxa"/>
          </w:tcPr>
          <w:p w14:paraId="17A9C0E6"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6659F83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Ottawa</w:t>
            </w:r>
          </w:p>
        </w:tc>
        <w:tc>
          <w:tcPr>
            <w:tcW w:w="1701" w:type="dxa"/>
          </w:tcPr>
          <w:p w14:paraId="24944CD2"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53E5396B" w14:textId="77777777" w:rsidTr="00ED4A67">
        <w:trPr>
          <w:trHeight w:val="20"/>
        </w:trPr>
        <w:tc>
          <w:tcPr>
            <w:tcW w:w="4248" w:type="dxa"/>
            <w:shd w:val="clear" w:color="auto" w:fill="auto"/>
            <w:vAlign w:val="bottom"/>
          </w:tcPr>
          <w:p w14:paraId="719C367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Centennial College of Applied Arts &amp; Technology</w:t>
            </w:r>
          </w:p>
        </w:tc>
        <w:tc>
          <w:tcPr>
            <w:tcW w:w="1701" w:type="dxa"/>
          </w:tcPr>
          <w:p w14:paraId="10E1792D"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34F26B0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5300771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1F7B8D69" w14:textId="77777777" w:rsidTr="00ED4A67">
        <w:trPr>
          <w:trHeight w:val="20"/>
        </w:trPr>
        <w:tc>
          <w:tcPr>
            <w:tcW w:w="4248" w:type="dxa"/>
            <w:shd w:val="clear" w:color="auto" w:fill="auto"/>
            <w:vAlign w:val="bottom"/>
          </w:tcPr>
          <w:p w14:paraId="1BD8A11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(La) Cité collégiale</w:t>
            </w:r>
          </w:p>
        </w:tc>
        <w:tc>
          <w:tcPr>
            <w:tcW w:w="1701" w:type="dxa"/>
          </w:tcPr>
          <w:p w14:paraId="60A8429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3210BD1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Ottawa</w:t>
            </w:r>
          </w:p>
        </w:tc>
        <w:tc>
          <w:tcPr>
            <w:tcW w:w="1701" w:type="dxa"/>
          </w:tcPr>
          <w:p w14:paraId="47338B8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164883" w:rsidRPr="00A15111" w14:paraId="36994FF8" w14:textId="77777777" w:rsidTr="00ED4A67">
        <w:trPr>
          <w:trHeight w:val="20"/>
        </w:trPr>
        <w:tc>
          <w:tcPr>
            <w:tcW w:w="4248" w:type="dxa"/>
            <w:shd w:val="clear" w:color="auto" w:fill="auto"/>
            <w:vAlign w:val="bottom"/>
          </w:tcPr>
          <w:p w14:paraId="61ECBBCD"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Collège Boréal </w:t>
            </w:r>
          </w:p>
        </w:tc>
        <w:tc>
          <w:tcPr>
            <w:tcW w:w="1701" w:type="dxa"/>
          </w:tcPr>
          <w:p w14:paraId="51ED8C53"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212D38BA"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Sudbury </w:t>
            </w:r>
          </w:p>
        </w:tc>
        <w:tc>
          <w:tcPr>
            <w:tcW w:w="1701" w:type="dxa"/>
          </w:tcPr>
          <w:p w14:paraId="5EE5F29D"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No </w:t>
            </w:r>
          </w:p>
        </w:tc>
      </w:tr>
      <w:tr w:rsidR="00ED4A67" w:rsidRPr="00A15111" w14:paraId="7BAC8C04" w14:textId="77777777" w:rsidTr="00ED4A67">
        <w:trPr>
          <w:trHeight w:val="20"/>
        </w:trPr>
        <w:tc>
          <w:tcPr>
            <w:tcW w:w="4248" w:type="dxa"/>
            <w:shd w:val="clear" w:color="auto" w:fill="auto"/>
            <w:vAlign w:val="bottom"/>
          </w:tcPr>
          <w:p w14:paraId="329DBC4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Conestoga College</w:t>
            </w:r>
          </w:p>
        </w:tc>
        <w:tc>
          <w:tcPr>
            <w:tcW w:w="1701" w:type="dxa"/>
          </w:tcPr>
          <w:p w14:paraId="684BD75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College </w:t>
            </w:r>
          </w:p>
        </w:tc>
        <w:tc>
          <w:tcPr>
            <w:tcW w:w="1417" w:type="dxa"/>
            <w:shd w:val="clear" w:color="auto" w:fill="auto"/>
            <w:vAlign w:val="bottom"/>
          </w:tcPr>
          <w:p w14:paraId="408FFFC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Kitchener</w:t>
            </w:r>
          </w:p>
        </w:tc>
        <w:tc>
          <w:tcPr>
            <w:tcW w:w="1701" w:type="dxa"/>
          </w:tcPr>
          <w:p w14:paraId="6F53C4A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52C74412" w14:textId="77777777" w:rsidTr="00ED4A67">
        <w:trPr>
          <w:trHeight w:val="20"/>
        </w:trPr>
        <w:tc>
          <w:tcPr>
            <w:tcW w:w="4248" w:type="dxa"/>
            <w:shd w:val="clear" w:color="auto" w:fill="auto"/>
            <w:vAlign w:val="bottom"/>
          </w:tcPr>
          <w:p w14:paraId="258462C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Confederation College</w:t>
            </w:r>
          </w:p>
        </w:tc>
        <w:tc>
          <w:tcPr>
            <w:tcW w:w="1701" w:type="dxa"/>
          </w:tcPr>
          <w:p w14:paraId="62CE205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18BC993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Thunder Bay</w:t>
            </w:r>
          </w:p>
        </w:tc>
        <w:tc>
          <w:tcPr>
            <w:tcW w:w="1701" w:type="dxa"/>
          </w:tcPr>
          <w:p w14:paraId="164E3EA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25DF25B4" w14:textId="77777777" w:rsidTr="00ED4A67">
        <w:trPr>
          <w:trHeight w:val="20"/>
        </w:trPr>
        <w:tc>
          <w:tcPr>
            <w:tcW w:w="4248" w:type="dxa"/>
            <w:shd w:val="clear" w:color="auto" w:fill="auto"/>
            <w:vAlign w:val="bottom"/>
          </w:tcPr>
          <w:p w14:paraId="418B3C7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Fanshawe College</w:t>
            </w:r>
          </w:p>
        </w:tc>
        <w:tc>
          <w:tcPr>
            <w:tcW w:w="1701" w:type="dxa"/>
          </w:tcPr>
          <w:p w14:paraId="159C21A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21C333B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London</w:t>
            </w:r>
          </w:p>
        </w:tc>
        <w:tc>
          <w:tcPr>
            <w:tcW w:w="1701" w:type="dxa"/>
          </w:tcPr>
          <w:p w14:paraId="58A3FAF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No </w:t>
            </w:r>
          </w:p>
        </w:tc>
      </w:tr>
      <w:tr w:rsidR="00ED4A67" w:rsidRPr="00A15111" w14:paraId="28E51D15" w14:textId="77777777" w:rsidTr="00ED4A67">
        <w:trPr>
          <w:trHeight w:val="20"/>
        </w:trPr>
        <w:tc>
          <w:tcPr>
            <w:tcW w:w="4248" w:type="dxa"/>
            <w:shd w:val="clear" w:color="auto" w:fill="auto"/>
            <w:vAlign w:val="bottom"/>
          </w:tcPr>
          <w:p w14:paraId="7CB633A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Fleming College</w:t>
            </w:r>
          </w:p>
        </w:tc>
        <w:tc>
          <w:tcPr>
            <w:tcW w:w="1701" w:type="dxa"/>
          </w:tcPr>
          <w:p w14:paraId="74E919A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2D8B447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Peterborough </w:t>
            </w:r>
          </w:p>
        </w:tc>
        <w:tc>
          <w:tcPr>
            <w:tcW w:w="1701" w:type="dxa"/>
          </w:tcPr>
          <w:p w14:paraId="52CD4BE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375B6947" w14:textId="77777777" w:rsidTr="00ED4A67">
        <w:trPr>
          <w:trHeight w:val="20"/>
        </w:trPr>
        <w:tc>
          <w:tcPr>
            <w:tcW w:w="4248" w:type="dxa"/>
            <w:shd w:val="clear" w:color="auto" w:fill="auto"/>
            <w:vAlign w:val="bottom"/>
          </w:tcPr>
          <w:p w14:paraId="78996B6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George Brown</w:t>
            </w:r>
          </w:p>
        </w:tc>
        <w:tc>
          <w:tcPr>
            <w:tcW w:w="1701" w:type="dxa"/>
          </w:tcPr>
          <w:p w14:paraId="30B9E772"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College </w:t>
            </w:r>
          </w:p>
        </w:tc>
        <w:tc>
          <w:tcPr>
            <w:tcW w:w="1417" w:type="dxa"/>
            <w:shd w:val="clear" w:color="auto" w:fill="auto"/>
            <w:vAlign w:val="bottom"/>
          </w:tcPr>
          <w:p w14:paraId="66F0CDA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3F0ED70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6642A8A8" w14:textId="77777777" w:rsidTr="00ED4A67">
        <w:trPr>
          <w:trHeight w:val="20"/>
        </w:trPr>
        <w:tc>
          <w:tcPr>
            <w:tcW w:w="4248" w:type="dxa"/>
            <w:shd w:val="clear" w:color="auto" w:fill="auto"/>
            <w:vAlign w:val="bottom"/>
          </w:tcPr>
          <w:p w14:paraId="48E2A4CE" w14:textId="23CEE29C" w:rsidR="00ED4A67" w:rsidRPr="00A15111" w:rsidRDefault="00ED4A67" w:rsidP="00282CBC">
            <w:pPr>
              <w:spacing w:after="0" w:line="240" w:lineRule="auto"/>
              <w:rPr>
                <w:rFonts w:eastAsia="Times New Roman" w:cs="Calibri"/>
                <w:color w:val="000000"/>
                <w:lang w:eastAsia="en-CA"/>
              </w:rPr>
            </w:pPr>
            <w:r w:rsidRPr="00A15111">
              <w:rPr>
                <w:rFonts w:eastAsia="Times New Roman" w:cs="Calibri"/>
                <w:color w:val="000000"/>
                <w:lang w:eastAsia="en-CA"/>
              </w:rPr>
              <w:lastRenderedPageBreak/>
              <w:t>Glendon College</w:t>
            </w:r>
            <w:r w:rsidR="00282CBC" w:rsidRPr="00A15111">
              <w:rPr>
                <w:rFonts w:eastAsia="Times New Roman" w:cs="Calibri"/>
                <w:color w:val="000000"/>
                <w:lang w:eastAsia="en-CA"/>
              </w:rPr>
              <w:t xml:space="preserve">, </w:t>
            </w:r>
            <w:r w:rsidRPr="00A15111">
              <w:rPr>
                <w:rFonts w:eastAsia="Times New Roman" w:cs="Calibri"/>
                <w:color w:val="000000"/>
                <w:lang w:eastAsia="en-CA"/>
              </w:rPr>
              <w:t>York</w:t>
            </w:r>
          </w:p>
        </w:tc>
        <w:tc>
          <w:tcPr>
            <w:tcW w:w="1701" w:type="dxa"/>
          </w:tcPr>
          <w:p w14:paraId="39D94EC6" w14:textId="55B931FC" w:rsidR="00ED4A67" w:rsidRPr="00A15111" w:rsidRDefault="00FA410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r w:rsidR="00BE6D9E" w:rsidRPr="00A15111">
              <w:rPr>
                <w:rFonts w:eastAsia="Times New Roman" w:cs="Calibri"/>
                <w:color w:val="000000"/>
                <w:lang w:eastAsia="en-CA"/>
              </w:rPr>
              <w:t>C</w:t>
            </w:r>
            <w:r w:rsidR="00ED4A67" w:rsidRPr="00A15111">
              <w:rPr>
                <w:rFonts w:eastAsia="Times New Roman" w:cs="Calibri"/>
                <w:color w:val="000000"/>
                <w:lang w:eastAsia="en-CA"/>
              </w:rPr>
              <w:t>ollege</w:t>
            </w:r>
          </w:p>
        </w:tc>
        <w:tc>
          <w:tcPr>
            <w:tcW w:w="1417" w:type="dxa"/>
            <w:shd w:val="clear" w:color="auto" w:fill="auto"/>
            <w:vAlign w:val="bottom"/>
          </w:tcPr>
          <w:p w14:paraId="60AFD6E6"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54D40EA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6DB6F76F" w14:textId="77777777" w:rsidTr="00ED4A67">
        <w:trPr>
          <w:trHeight w:val="20"/>
        </w:trPr>
        <w:tc>
          <w:tcPr>
            <w:tcW w:w="4248" w:type="dxa"/>
            <w:shd w:val="clear" w:color="auto" w:fill="auto"/>
            <w:vAlign w:val="bottom"/>
          </w:tcPr>
          <w:p w14:paraId="264D114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Humber College</w:t>
            </w:r>
          </w:p>
        </w:tc>
        <w:tc>
          <w:tcPr>
            <w:tcW w:w="1701" w:type="dxa"/>
          </w:tcPr>
          <w:p w14:paraId="759C4E8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087E197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68A3C48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0E429F23" w14:textId="77777777" w:rsidTr="00ED4A67">
        <w:trPr>
          <w:trHeight w:val="20"/>
        </w:trPr>
        <w:tc>
          <w:tcPr>
            <w:tcW w:w="4248" w:type="dxa"/>
            <w:shd w:val="clear" w:color="auto" w:fill="auto"/>
            <w:vAlign w:val="bottom"/>
          </w:tcPr>
          <w:p w14:paraId="1F3F445A" w14:textId="77777777" w:rsidR="00ED4A67" w:rsidRPr="00A15111" w:rsidRDefault="00ED4A67" w:rsidP="00FA4107">
            <w:pPr>
              <w:spacing w:after="0" w:line="240" w:lineRule="auto"/>
              <w:rPr>
                <w:rFonts w:eastAsia="Times New Roman" w:cs="Calibri"/>
                <w:color w:val="000000"/>
                <w:lang w:eastAsia="en-CA"/>
              </w:rPr>
            </w:pPr>
            <w:r w:rsidRPr="00A15111">
              <w:rPr>
                <w:rFonts w:eastAsia="Times New Roman" w:cs="Calibri"/>
                <w:color w:val="000000"/>
                <w:lang w:eastAsia="en-CA"/>
              </w:rPr>
              <w:t>Huron University College</w:t>
            </w:r>
            <w:r w:rsidR="00FA4107" w:rsidRPr="00A15111">
              <w:rPr>
                <w:rFonts w:eastAsia="Times New Roman" w:cs="Calibri"/>
                <w:color w:val="000000"/>
                <w:lang w:eastAsia="en-CA"/>
              </w:rPr>
              <w:t xml:space="preserve">, </w:t>
            </w:r>
            <w:r w:rsidRPr="00A15111">
              <w:rPr>
                <w:rFonts w:eastAsia="Times New Roman" w:cs="Calibri"/>
                <w:color w:val="000000"/>
                <w:lang w:eastAsia="en-CA"/>
              </w:rPr>
              <w:t>UWO</w:t>
            </w:r>
          </w:p>
        </w:tc>
        <w:tc>
          <w:tcPr>
            <w:tcW w:w="1701" w:type="dxa"/>
          </w:tcPr>
          <w:p w14:paraId="592E013E" w14:textId="199FE444" w:rsidR="00ED4A67" w:rsidRPr="00A15111" w:rsidRDefault="00ED4A67" w:rsidP="00FA4107">
            <w:pPr>
              <w:spacing w:after="0" w:line="240" w:lineRule="auto"/>
              <w:rPr>
                <w:rFonts w:eastAsia="Times New Roman" w:cs="Calibri"/>
                <w:color w:val="000000"/>
                <w:lang w:eastAsia="en-CA"/>
              </w:rPr>
            </w:pPr>
            <w:r w:rsidRPr="00A15111">
              <w:rPr>
                <w:rFonts w:eastAsia="Times New Roman" w:cs="Calibri"/>
                <w:color w:val="000000"/>
                <w:lang w:eastAsia="en-CA"/>
              </w:rPr>
              <w:t>University</w:t>
            </w:r>
            <w:r w:rsidR="00FA4107" w:rsidRPr="00A15111">
              <w:rPr>
                <w:rFonts w:eastAsia="Times New Roman" w:cs="Calibri"/>
                <w:color w:val="000000"/>
                <w:lang w:eastAsia="en-CA"/>
              </w:rPr>
              <w:t xml:space="preserve"> </w:t>
            </w:r>
            <w:r w:rsidR="00BE6D9E" w:rsidRPr="00A15111">
              <w:rPr>
                <w:rFonts w:eastAsia="Times New Roman" w:cs="Calibri"/>
                <w:color w:val="000000"/>
                <w:lang w:eastAsia="en-CA"/>
              </w:rPr>
              <w:t>C</w:t>
            </w:r>
            <w:r w:rsidRPr="00A15111">
              <w:rPr>
                <w:rFonts w:eastAsia="Times New Roman" w:cs="Calibri"/>
                <w:color w:val="000000"/>
                <w:lang w:eastAsia="en-CA"/>
              </w:rPr>
              <w:t>ollege</w:t>
            </w:r>
          </w:p>
        </w:tc>
        <w:tc>
          <w:tcPr>
            <w:tcW w:w="1417" w:type="dxa"/>
            <w:shd w:val="clear" w:color="auto" w:fill="auto"/>
            <w:vAlign w:val="bottom"/>
          </w:tcPr>
          <w:p w14:paraId="54F28B7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London</w:t>
            </w:r>
          </w:p>
        </w:tc>
        <w:tc>
          <w:tcPr>
            <w:tcW w:w="1701" w:type="dxa"/>
          </w:tcPr>
          <w:p w14:paraId="77DDACF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5084ADA7" w14:textId="77777777" w:rsidTr="00ED4A67">
        <w:trPr>
          <w:trHeight w:val="20"/>
        </w:trPr>
        <w:tc>
          <w:tcPr>
            <w:tcW w:w="4248" w:type="dxa"/>
            <w:shd w:val="clear" w:color="auto" w:fill="auto"/>
            <w:vAlign w:val="bottom"/>
          </w:tcPr>
          <w:p w14:paraId="2CDFB5CB" w14:textId="77777777" w:rsidR="00ED4A67" w:rsidRPr="00A15111" w:rsidRDefault="00ED4A67" w:rsidP="00FA4107">
            <w:pPr>
              <w:spacing w:after="0" w:line="240" w:lineRule="auto"/>
              <w:rPr>
                <w:rFonts w:eastAsia="Times New Roman" w:cs="Calibri"/>
                <w:color w:val="000000"/>
                <w:lang w:eastAsia="en-CA"/>
              </w:rPr>
            </w:pPr>
            <w:r w:rsidRPr="00A15111">
              <w:rPr>
                <w:rFonts w:eastAsia="Times New Roman" w:cs="Calibri"/>
                <w:color w:val="000000"/>
                <w:lang w:eastAsia="en-CA"/>
              </w:rPr>
              <w:t>King’s University College</w:t>
            </w:r>
            <w:r w:rsidR="00FA4107" w:rsidRPr="00A15111">
              <w:rPr>
                <w:rFonts w:eastAsia="Times New Roman" w:cs="Calibri"/>
                <w:color w:val="000000"/>
                <w:lang w:eastAsia="en-CA"/>
              </w:rPr>
              <w:t>, UWO</w:t>
            </w:r>
          </w:p>
        </w:tc>
        <w:tc>
          <w:tcPr>
            <w:tcW w:w="1701" w:type="dxa"/>
          </w:tcPr>
          <w:p w14:paraId="1D4DE971" w14:textId="1DC73223"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w:t>
            </w:r>
            <w:r w:rsidR="00FA4107" w:rsidRPr="00A15111">
              <w:rPr>
                <w:rFonts w:eastAsia="Times New Roman" w:cs="Calibri"/>
                <w:color w:val="000000"/>
                <w:lang w:eastAsia="en-CA"/>
              </w:rPr>
              <w:t xml:space="preserve">niversity </w:t>
            </w:r>
            <w:r w:rsidR="00BE6D9E" w:rsidRPr="00A15111">
              <w:rPr>
                <w:rFonts w:eastAsia="Times New Roman" w:cs="Calibri"/>
                <w:color w:val="000000"/>
                <w:lang w:eastAsia="en-CA"/>
              </w:rPr>
              <w:t>C</w:t>
            </w:r>
            <w:r w:rsidRPr="00A15111">
              <w:rPr>
                <w:rFonts w:eastAsia="Times New Roman" w:cs="Calibri"/>
                <w:color w:val="000000"/>
                <w:lang w:eastAsia="en-CA"/>
              </w:rPr>
              <w:t>ollege</w:t>
            </w:r>
          </w:p>
        </w:tc>
        <w:tc>
          <w:tcPr>
            <w:tcW w:w="1417" w:type="dxa"/>
            <w:shd w:val="clear" w:color="auto" w:fill="auto"/>
            <w:vAlign w:val="bottom"/>
          </w:tcPr>
          <w:p w14:paraId="51014C7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London</w:t>
            </w:r>
          </w:p>
        </w:tc>
        <w:tc>
          <w:tcPr>
            <w:tcW w:w="1701" w:type="dxa"/>
          </w:tcPr>
          <w:p w14:paraId="39DF8F2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20A84968" w14:textId="77777777" w:rsidTr="00ED4A67">
        <w:trPr>
          <w:trHeight w:val="20"/>
        </w:trPr>
        <w:tc>
          <w:tcPr>
            <w:tcW w:w="4248" w:type="dxa"/>
            <w:shd w:val="clear" w:color="auto" w:fill="auto"/>
            <w:vAlign w:val="bottom"/>
          </w:tcPr>
          <w:p w14:paraId="0D06C69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Lakehead University</w:t>
            </w:r>
          </w:p>
        </w:tc>
        <w:tc>
          <w:tcPr>
            <w:tcW w:w="1701" w:type="dxa"/>
          </w:tcPr>
          <w:p w14:paraId="57FE8B4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5B3190C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Thunder Bay</w:t>
            </w:r>
          </w:p>
        </w:tc>
        <w:tc>
          <w:tcPr>
            <w:tcW w:w="1701" w:type="dxa"/>
          </w:tcPr>
          <w:p w14:paraId="178D3EA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17E2E05A" w14:textId="77777777" w:rsidTr="00ED4A67">
        <w:trPr>
          <w:trHeight w:val="20"/>
        </w:trPr>
        <w:tc>
          <w:tcPr>
            <w:tcW w:w="4248" w:type="dxa"/>
            <w:shd w:val="clear" w:color="auto" w:fill="auto"/>
            <w:vAlign w:val="bottom"/>
          </w:tcPr>
          <w:p w14:paraId="7314E6F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Laurentian University</w:t>
            </w:r>
          </w:p>
        </w:tc>
        <w:tc>
          <w:tcPr>
            <w:tcW w:w="1701" w:type="dxa"/>
          </w:tcPr>
          <w:p w14:paraId="03EE20F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6173B89C"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Sudbury </w:t>
            </w:r>
          </w:p>
        </w:tc>
        <w:tc>
          <w:tcPr>
            <w:tcW w:w="1701" w:type="dxa"/>
          </w:tcPr>
          <w:p w14:paraId="2F7E35C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21B039AE" w14:textId="77777777" w:rsidTr="00ED4A67">
        <w:trPr>
          <w:trHeight w:val="20"/>
        </w:trPr>
        <w:tc>
          <w:tcPr>
            <w:tcW w:w="4248" w:type="dxa"/>
            <w:shd w:val="clear" w:color="auto" w:fill="auto"/>
            <w:vAlign w:val="bottom"/>
          </w:tcPr>
          <w:p w14:paraId="75C59F3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Ontario College of Art and Design</w:t>
            </w:r>
          </w:p>
        </w:tc>
        <w:tc>
          <w:tcPr>
            <w:tcW w:w="1701" w:type="dxa"/>
          </w:tcPr>
          <w:p w14:paraId="397A7FAA" w14:textId="77777777" w:rsidR="00ED4A67" w:rsidRPr="00A15111" w:rsidRDefault="001574FE" w:rsidP="001574FE">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2B805F8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76DD451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170FB63A" w14:textId="77777777" w:rsidTr="00ED4A67">
        <w:trPr>
          <w:trHeight w:val="20"/>
        </w:trPr>
        <w:tc>
          <w:tcPr>
            <w:tcW w:w="4248" w:type="dxa"/>
            <w:shd w:val="clear" w:color="auto" w:fill="auto"/>
            <w:vAlign w:val="bottom"/>
          </w:tcPr>
          <w:p w14:paraId="00A1963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Queen’s University</w:t>
            </w:r>
          </w:p>
        </w:tc>
        <w:tc>
          <w:tcPr>
            <w:tcW w:w="1701" w:type="dxa"/>
          </w:tcPr>
          <w:p w14:paraId="520C72D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429E075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Kingston</w:t>
            </w:r>
          </w:p>
        </w:tc>
        <w:tc>
          <w:tcPr>
            <w:tcW w:w="1701" w:type="dxa"/>
          </w:tcPr>
          <w:p w14:paraId="438D194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484FD18A" w14:textId="77777777" w:rsidTr="00ED4A67">
        <w:trPr>
          <w:trHeight w:val="20"/>
        </w:trPr>
        <w:tc>
          <w:tcPr>
            <w:tcW w:w="4248" w:type="dxa"/>
            <w:shd w:val="clear" w:color="auto" w:fill="auto"/>
            <w:vAlign w:val="bottom"/>
          </w:tcPr>
          <w:p w14:paraId="50CE851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Ryerson University</w:t>
            </w:r>
          </w:p>
        </w:tc>
        <w:tc>
          <w:tcPr>
            <w:tcW w:w="1701" w:type="dxa"/>
          </w:tcPr>
          <w:p w14:paraId="1DD4C22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auto" w:fill="auto"/>
            <w:vAlign w:val="bottom"/>
          </w:tcPr>
          <w:p w14:paraId="0628791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59B9CF3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34AC5B33" w14:textId="77777777" w:rsidTr="00ED4A67">
        <w:trPr>
          <w:trHeight w:val="20"/>
        </w:trPr>
        <w:tc>
          <w:tcPr>
            <w:tcW w:w="4248" w:type="dxa"/>
            <w:shd w:val="clear" w:color="auto" w:fill="auto"/>
            <w:vAlign w:val="bottom"/>
          </w:tcPr>
          <w:p w14:paraId="3926836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Seneca College</w:t>
            </w:r>
          </w:p>
        </w:tc>
        <w:tc>
          <w:tcPr>
            <w:tcW w:w="1701" w:type="dxa"/>
          </w:tcPr>
          <w:p w14:paraId="158D0D2C"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5F3F0E46"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1113839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268451E2" w14:textId="77777777" w:rsidTr="00ED4A67">
        <w:trPr>
          <w:trHeight w:val="20"/>
        </w:trPr>
        <w:tc>
          <w:tcPr>
            <w:tcW w:w="4248" w:type="dxa"/>
            <w:shd w:val="clear" w:color="auto" w:fill="auto"/>
            <w:vAlign w:val="bottom"/>
          </w:tcPr>
          <w:p w14:paraId="53338C7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St. Clair College</w:t>
            </w:r>
          </w:p>
        </w:tc>
        <w:tc>
          <w:tcPr>
            <w:tcW w:w="1701" w:type="dxa"/>
          </w:tcPr>
          <w:p w14:paraId="7BA0A25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5C81FAFD"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Windsor</w:t>
            </w:r>
          </w:p>
        </w:tc>
        <w:tc>
          <w:tcPr>
            <w:tcW w:w="1701" w:type="dxa"/>
          </w:tcPr>
          <w:p w14:paraId="0186AC1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164883" w:rsidRPr="00A15111" w14:paraId="41AA3834" w14:textId="77777777" w:rsidTr="00ED4A67">
        <w:trPr>
          <w:trHeight w:val="20"/>
        </w:trPr>
        <w:tc>
          <w:tcPr>
            <w:tcW w:w="4248" w:type="dxa"/>
            <w:shd w:val="clear" w:color="auto" w:fill="auto"/>
            <w:vAlign w:val="bottom"/>
          </w:tcPr>
          <w:p w14:paraId="3D46240B"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St. Lawrence College</w:t>
            </w:r>
          </w:p>
        </w:tc>
        <w:tc>
          <w:tcPr>
            <w:tcW w:w="1701" w:type="dxa"/>
          </w:tcPr>
          <w:p w14:paraId="46E19047"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College</w:t>
            </w:r>
          </w:p>
        </w:tc>
        <w:tc>
          <w:tcPr>
            <w:tcW w:w="1417" w:type="dxa"/>
            <w:shd w:val="clear" w:color="auto" w:fill="auto"/>
            <w:vAlign w:val="bottom"/>
          </w:tcPr>
          <w:p w14:paraId="5668C085"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Kingston </w:t>
            </w:r>
          </w:p>
        </w:tc>
        <w:tc>
          <w:tcPr>
            <w:tcW w:w="1701" w:type="dxa"/>
          </w:tcPr>
          <w:p w14:paraId="0BAE8829" w14:textId="77777777" w:rsidR="00164883" w:rsidRPr="00A15111" w:rsidRDefault="00164883"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3B46D427" w14:textId="77777777" w:rsidTr="00ED4A67">
        <w:trPr>
          <w:trHeight w:val="20"/>
        </w:trPr>
        <w:tc>
          <w:tcPr>
            <w:tcW w:w="4248" w:type="dxa"/>
            <w:shd w:val="clear" w:color="auto" w:fill="auto"/>
            <w:vAlign w:val="bottom"/>
          </w:tcPr>
          <w:p w14:paraId="3A3AFC4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Trent University </w:t>
            </w:r>
          </w:p>
        </w:tc>
        <w:tc>
          <w:tcPr>
            <w:tcW w:w="1701" w:type="dxa"/>
          </w:tcPr>
          <w:p w14:paraId="03ED246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auto" w:fill="auto"/>
            <w:vAlign w:val="bottom"/>
          </w:tcPr>
          <w:p w14:paraId="3B998F5B"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Peterborough </w:t>
            </w:r>
          </w:p>
        </w:tc>
        <w:tc>
          <w:tcPr>
            <w:tcW w:w="1701" w:type="dxa"/>
          </w:tcPr>
          <w:p w14:paraId="0D1D620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571CF921" w14:textId="77777777" w:rsidTr="00ED4A67">
        <w:trPr>
          <w:trHeight w:val="20"/>
        </w:trPr>
        <w:tc>
          <w:tcPr>
            <w:tcW w:w="4248" w:type="dxa"/>
            <w:shd w:val="clear" w:color="auto" w:fill="auto"/>
            <w:vAlign w:val="bottom"/>
          </w:tcPr>
          <w:p w14:paraId="2745B0B0" w14:textId="77777777" w:rsidR="00ED4A67" w:rsidRPr="00A15111" w:rsidRDefault="00ED4A67" w:rsidP="00FA4107">
            <w:pPr>
              <w:spacing w:after="0" w:line="240" w:lineRule="auto"/>
              <w:rPr>
                <w:rFonts w:eastAsia="Times New Roman" w:cs="Calibri"/>
                <w:color w:val="000000"/>
                <w:lang w:eastAsia="en-CA"/>
              </w:rPr>
            </w:pPr>
            <w:r w:rsidRPr="00A15111">
              <w:rPr>
                <w:rFonts w:eastAsia="Times New Roman" w:cs="Calibri"/>
                <w:color w:val="000000"/>
                <w:lang w:eastAsia="en-CA"/>
              </w:rPr>
              <w:t>University College Brescia</w:t>
            </w:r>
            <w:r w:rsidR="00FA4107" w:rsidRPr="00A15111">
              <w:rPr>
                <w:rFonts w:eastAsia="Times New Roman" w:cs="Calibri"/>
                <w:color w:val="000000"/>
                <w:lang w:eastAsia="en-CA"/>
              </w:rPr>
              <w:t>, UWO</w:t>
            </w:r>
          </w:p>
        </w:tc>
        <w:tc>
          <w:tcPr>
            <w:tcW w:w="1701" w:type="dxa"/>
          </w:tcPr>
          <w:p w14:paraId="37982595" w14:textId="64AF349C"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w:t>
            </w:r>
            <w:r w:rsidR="00FA4107" w:rsidRPr="00A15111">
              <w:rPr>
                <w:rFonts w:eastAsia="Times New Roman" w:cs="Calibri"/>
                <w:color w:val="000000"/>
                <w:lang w:eastAsia="en-CA"/>
              </w:rPr>
              <w:t xml:space="preserve">niversity </w:t>
            </w:r>
            <w:r w:rsidR="00BE6D9E" w:rsidRPr="00A15111">
              <w:rPr>
                <w:rFonts w:eastAsia="Times New Roman" w:cs="Calibri"/>
                <w:color w:val="000000"/>
                <w:lang w:eastAsia="en-CA"/>
              </w:rPr>
              <w:t>C</w:t>
            </w:r>
            <w:r w:rsidRPr="00A15111">
              <w:rPr>
                <w:rFonts w:eastAsia="Times New Roman" w:cs="Calibri"/>
                <w:color w:val="000000"/>
                <w:lang w:eastAsia="en-CA"/>
              </w:rPr>
              <w:t xml:space="preserve">ollege </w:t>
            </w:r>
          </w:p>
        </w:tc>
        <w:tc>
          <w:tcPr>
            <w:tcW w:w="1417" w:type="dxa"/>
            <w:shd w:val="clear" w:color="auto" w:fill="auto"/>
            <w:vAlign w:val="bottom"/>
          </w:tcPr>
          <w:p w14:paraId="62E6903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London</w:t>
            </w:r>
          </w:p>
        </w:tc>
        <w:tc>
          <w:tcPr>
            <w:tcW w:w="1701" w:type="dxa"/>
          </w:tcPr>
          <w:p w14:paraId="42371B3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12D9ADE7" w14:textId="77777777" w:rsidTr="00ED4A67">
        <w:trPr>
          <w:trHeight w:val="20"/>
        </w:trPr>
        <w:tc>
          <w:tcPr>
            <w:tcW w:w="4248" w:type="dxa"/>
            <w:shd w:val="clear" w:color="auto" w:fill="auto"/>
            <w:vAlign w:val="bottom"/>
            <w:hideMark/>
          </w:tcPr>
          <w:p w14:paraId="0D8E5E8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Guelph</w:t>
            </w:r>
          </w:p>
        </w:tc>
        <w:tc>
          <w:tcPr>
            <w:tcW w:w="1701" w:type="dxa"/>
          </w:tcPr>
          <w:p w14:paraId="29CC237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auto" w:fill="auto"/>
            <w:vAlign w:val="bottom"/>
            <w:hideMark/>
          </w:tcPr>
          <w:p w14:paraId="1779C40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Guelph</w:t>
            </w:r>
          </w:p>
        </w:tc>
        <w:tc>
          <w:tcPr>
            <w:tcW w:w="1701" w:type="dxa"/>
          </w:tcPr>
          <w:p w14:paraId="3562300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572E2874" w14:textId="77777777" w:rsidTr="00ED4A67">
        <w:trPr>
          <w:trHeight w:val="20"/>
        </w:trPr>
        <w:tc>
          <w:tcPr>
            <w:tcW w:w="4248" w:type="dxa"/>
            <w:shd w:val="clear" w:color="auto" w:fill="auto"/>
            <w:vAlign w:val="bottom"/>
          </w:tcPr>
          <w:p w14:paraId="43F1283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Ottawa</w:t>
            </w:r>
          </w:p>
        </w:tc>
        <w:tc>
          <w:tcPr>
            <w:tcW w:w="1701" w:type="dxa"/>
          </w:tcPr>
          <w:p w14:paraId="15A0DA1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auto" w:fill="auto"/>
            <w:vAlign w:val="bottom"/>
          </w:tcPr>
          <w:p w14:paraId="56DC685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Ottawa</w:t>
            </w:r>
          </w:p>
        </w:tc>
        <w:tc>
          <w:tcPr>
            <w:tcW w:w="1701" w:type="dxa"/>
          </w:tcPr>
          <w:p w14:paraId="609BE1B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173CD635" w14:textId="77777777" w:rsidTr="00ED4A67">
        <w:trPr>
          <w:trHeight w:val="20"/>
        </w:trPr>
        <w:tc>
          <w:tcPr>
            <w:tcW w:w="4248" w:type="dxa"/>
            <w:shd w:val="clear" w:color="auto" w:fill="auto"/>
            <w:vAlign w:val="bottom"/>
          </w:tcPr>
          <w:p w14:paraId="20D2CC39"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Toronto - Scarborough</w:t>
            </w:r>
          </w:p>
        </w:tc>
        <w:tc>
          <w:tcPr>
            <w:tcW w:w="1701" w:type="dxa"/>
          </w:tcPr>
          <w:p w14:paraId="51F177A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auto" w:fill="auto"/>
            <w:vAlign w:val="bottom"/>
          </w:tcPr>
          <w:p w14:paraId="37873BEC"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Toronto</w:t>
            </w:r>
          </w:p>
        </w:tc>
        <w:tc>
          <w:tcPr>
            <w:tcW w:w="1701" w:type="dxa"/>
          </w:tcPr>
          <w:p w14:paraId="5A129DC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0CDFEA88" w14:textId="77777777" w:rsidTr="00ED4A67">
        <w:trPr>
          <w:trHeight w:val="20"/>
        </w:trPr>
        <w:tc>
          <w:tcPr>
            <w:tcW w:w="4248" w:type="dxa"/>
            <w:shd w:val="clear" w:color="000000" w:fill="FFFFFF"/>
            <w:vAlign w:val="bottom"/>
            <w:hideMark/>
          </w:tcPr>
          <w:p w14:paraId="13F27816"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Waterloo</w:t>
            </w:r>
            <w:r w:rsidR="00FA4107" w:rsidRPr="00A15111">
              <w:rPr>
                <w:rStyle w:val="FootnoteReference"/>
                <w:rFonts w:eastAsia="Times New Roman" w:cs="Calibri"/>
                <w:color w:val="000000"/>
                <w:lang w:eastAsia="en-CA"/>
              </w:rPr>
              <w:footnoteReference w:id="2"/>
            </w:r>
          </w:p>
        </w:tc>
        <w:tc>
          <w:tcPr>
            <w:tcW w:w="1701" w:type="dxa"/>
            <w:shd w:val="clear" w:color="000000" w:fill="FFFFFF"/>
          </w:tcPr>
          <w:p w14:paraId="57F5ACB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000000" w:fill="FFFFFF"/>
            <w:vAlign w:val="bottom"/>
            <w:hideMark/>
          </w:tcPr>
          <w:p w14:paraId="06F1038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Waterloo</w:t>
            </w:r>
          </w:p>
        </w:tc>
        <w:tc>
          <w:tcPr>
            <w:tcW w:w="1701" w:type="dxa"/>
            <w:shd w:val="clear" w:color="000000" w:fill="FFFFFF"/>
          </w:tcPr>
          <w:p w14:paraId="67218B0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2F13357A" w14:textId="77777777" w:rsidTr="00ED4A67">
        <w:trPr>
          <w:trHeight w:val="20"/>
        </w:trPr>
        <w:tc>
          <w:tcPr>
            <w:tcW w:w="4248" w:type="dxa"/>
            <w:shd w:val="clear" w:color="000000" w:fill="FFFFFF"/>
            <w:vAlign w:val="bottom"/>
          </w:tcPr>
          <w:p w14:paraId="05352C7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Western Ontario</w:t>
            </w:r>
            <w:r w:rsidR="00FA4107" w:rsidRPr="00A15111">
              <w:rPr>
                <w:rFonts w:eastAsia="Times New Roman" w:cs="Calibri"/>
                <w:color w:val="000000"/>
                <w:lang w:eastAsia="en-CA"/>
              </w:rPr>
              <w:t xml:space="preserve"> (UWO)</w:t>
            </w:r>
          </w:p>
        </w:tc>
        <w:tc>
          <w:tcPr>
            <w:tcW w:w="1701" w:type="dxa"/>
            <w:shd w:val="clear" w:color="000000" w:fill="FFFFFF"/>
          </w:tcPr>
          <w:p w14:paraId="63F78887"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000000" w:fill="FFFFFF"/>
            <w:vAlign w:val="bottom"/>
          </w:tcPr>
          <w:p w14:paraId="2A3D7ED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London</w:t>
            </w:r>
          </w:p>
        </w:tc>
        <w:tc>
          <w:tcPr>
            <w:tcW w:w="1701" w:type="dxa"/>
            <w:shd w:val="clear" w:color="000000" w:fill="FFFFFF"/>
          </w:tcPr>
          <w:p w14:paraId="1437786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0D1CB9F3" w14:textId="77777777" w:rsidTr="00ED4A67">
        <w:trPr>
          <w:trHeight w:val="20"/>
        </w:trPr>
        <w:tc>
          <w:tcPr>
            <w:tcW w:w="4248" w:type="dxa"/>
            <w:shd w:val="clear" w:color="000000" w:fill="FFFFFF"/>
            <w:vAlign w:val="bottom"/>
          </w:tcPr>
          <w:p w14:paraId="0EF7614A"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 of Windsor</w:t>
            </w:r>
          </w:p>
        </w:tc>
        <w:tc>
          <w:tcPr>
            <w:tcW w:w="1701" w:type="dxa"/>
            <w:shd w:val="clear" w:color="000000" w:fill="FFFFFF"/>
          </w:tcPr>
          <w:p w14:paraId="435C10CD"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University </w:t>
            </w:r>
          </w:p>
        </w:tc>
        <w:tc>
          <w:tcPr>
            <w:tcW w:w="1417" w:type="dxa"/>
            <w:shd w:val="clear" w:color="000000" w:fill="FFFFFF"/>
            <w:vAlign w:val="bottom"/>
          </w:tcPr>
          <w:p w14:paraId="3DFD55CD"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Windsor</w:t>
            </w:r>
          </w:p>
        </w:tc>
        <w:tc>
          <w:tcPr>
            <w:tcW w:w="1701" w:type="dxa"/>
            <w:shd w:val="clear" w:color="000000" w:fill="FFFFFF"/>
          </w:tcPr>
          <w:p w14:paraId="3AD15E55"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No</w:t>
            </w:r>
          </w:p>
        </w:tc>
      </w:tr>
      <w:tr w:rsidR="00ED4A67" w:rsidRPr="00A15111" w14:paraId="21D61FD0" w14:textId="77777777" w:rsidTr="00ED4A67">
        <w:trPr>
          <w:trHeight w:val="20"/>
        </w:trPr>
        <w:tc>
          <w:tcPr>
            <w:tcW w:w="4248" w:type="dxa"/>
            <w:shd w:val="clear" w:color="000000" w:fill="FFFFFF"/>
            <w:vAlign w:val="bottom"/>
          </w:tcPr>
          <w:p w14:paraId="2216554E"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Wilfrid Laurier University </w:t>
            </w:r>
          </w:p>
        </w:tc>
        <w:tc>
          <w:tcPr>
            <w:tcW w:w="1701" w:type="dxa"/>
            <w:shd w:val="clear" w:color="000000" w:fill="FFFFFF"/>
          </w:tcPr>
          <w:p w14:paraId="4DD34363"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000000" w:fill="FFFFFF"/>
            <w:vAlign w:val="bottom"/>
          </w:tcPr>
          <w:p w14:paraId="3CCD13B1"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Waterloo</w:t>
            </w:r>
          </w:p>
        </w:tc>
        <w:tc>
          <w:tcPr>
            <w:tcW w:w="1701" w:type="dxa"/>
            <w:shd w:val="clear" w:color="000000" w:fill="FFFFFF"/>
          </w:tcPr>
          <w:p w14:paraId="22794844"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r w:rsidR="00ED4A67" w:rsidRPr="00A15111" w14:paraId="6F637D13" w14:textId="77777777" w:rsidTr="00ED4A67">
        <w:trPr>
          <w:trHeight w:val="20"/>
        </w:trPr>
        <w:tc>
          <w:tcPr>
            <w:tcW w:w="4248" w:type="dxa"/>
            <w:shd w:val="clear" w:color="000000" w:fill="FFFFFF"/>
            <w:vAlign w:val="bottom"/>
          </w:tcPr>
          <w:p w14:paraId="2E8F3080"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York University </w:t>
            </w:r>
          </w:p>
        </w:tc>
        <w:tc>
          <w:tcPr>
            <w:tcW w:w="1701" w:type="dxa"/>
            <w:shd w:val="clear" w:color="000000" w:fill="FFFFFF"/>
          </w:tcPr>
          <w:p w14:paraId="46447258"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University</w:t>
            </w:r>
          </w:p>
        </w:tc>
        <w:tc>
          <w:tcPr>
            <w:tcW w:w="1417" w:type="dxa"/>
            <w:shd w:val="clear" w:color="000000" w:fill="FFFFFF"/>
            <w:vAlign w:val="bottom"/>
          </w:tcPr>
          <w:p w14:paraId="4AE37D9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 xml:space="preserve">Toronto </w:t>
            </w:r>
          </w:p>
        </w:tc>
        <w:tc>
          <w:tcPr>
            <w:tcW w:w="1701" w:type="dxa"/>
            <w:shd w:val="clear" w:color="000000" w:fill="FFFFFF"/>
          </w:tcPr>
          <w:p w14:paraId="14572CEF" w14:textId="77777777" w:rsidR="00ED4A67" w:rsidRPr="00A15111" w:rsidRDefault="00ED4A67" w:rsidP="00ED4A67">
            <w:pPr>
              <w:spacing w:after="0" w:line="240" w:lineRule="auto"/>
              <w:rPr>
                <w:rFonts w:eastAsia="Times New Roman" w:cs="Calibri"/>
                <w:color w:val="000000"/>
                <w:lang w:eastAsia="en-CA"/>
              </w:rPr>
            </w:pPr>
            <w:r w:rsidRPr="00A15111">
              <w:rPr>
                <w:rFonts w:eastAsia="Times New Roman" w:cs="Calibri"/>
                <w:color w:val="000000"/>
                <w:lang w:eastAsia="en-CA"/>
              </w:rPr>
              <w:t>Yes</w:t>
            </w:r>
          </w:p>
        </w:tc>
      </w:tr>
    </w:tbl>
    <w:p w14:paraId="56C24134" w14:textId="77777777" w:rsidR="00ED4A67" w:rsidRPr="00A15111" w:rsidRDefault="00A75818" w:rsidP="00ED4A67">
      <w:pPr>
        <w:spacing w:after="0"/>
      </w:pPr>
      <w:r w:rsidRPr="00A15111">
        <w:t xml:space="preserve"> </w:t>
      </w:r>
      <w:r w:rsidR="005904F2" w:rsidRPr="00A15111">
        <w:t xml:space="preserve"> </w:t>
      </w:r>
      <w:r w:rsidR="003E5ABB" w:rsidRPr="00A15111">
        <w:t xml:space="preserve">  </w:t>
      </w:r>
      <w:r w:rsidR="00ED4A67" w:rsidRPr="00A15111">
        <w:t xml:space="preserve">  </w:t>
      </w:r>
    </w:p>
    <w:p w14:paraId="754C591B" w14:textId="0EC1AC42" w:rsidR="008E2AC4" w:rsidRPr="00A15111" w:rsidRDefault="00ED4A67" w:rsidP="00ED4A67">
      <w:pPr>
        <w:pStyle w:val="Heading2"/>
      </w:pPr>
      <w:bookmarkStart w:id="12" w:name="_Toc462982528"/>
      <w:bookmarkStart w:id="13" w:name="_Toc462988902"/>
      <w:bookmarkStart w:id="14" w:name="_Toc463342149"/>
      <w:bookmarkStart w:id="15" w:name="_Toc467163280"/>
      <w:r w:rsidRPr="00A15111">
        <w:t xml:space="preserve">Data </w:t>
      </w:r>
      <w:r w:rsidR="00BE6D9E" w:rsidRPr="00A15111">
        <w:t>C</w:t>
      </w:r>
      <w:r w:rsidRPr="00A15111">
        <w:t>ollected</w:t>
      </w:r>
      <w:bookmarkEnd w:id="12"/>
      <w:bookmarkEnd w:id="13"/>
      <w:bookmarkEnd w:id="14"/>
      <w:bookmarkEnd w:id="15"/>
    </w:p>
    <w:p w14:paraId="0D034C42" w14:textId="62D98443" w:rsidR="00432A00" w:rsidRPr="00716DFE" w:rsidRDefault="00432A00" w:rsidP="00432A00">
      <w:pPr>
        <w:rPr>
          <w:lang w:val="fr-CA"/>
        </w:rPr>
      </w:pPr>
      <w:r w:rsidRPr="00A15111">
        <w:t>For all MCUs, the research included an examination of references to the SDGs and/or MDGs, a review of strategic plans and an examination of international cooperation activities. References to the MDGs were included in the data collection process</w:t>
      </w:r>
      <w:r w:rsidR="00F63397" w:rsidRPr="00A15111">
        <w:t xml:space="preserve"> given that</w:t>
      </w:r>
      <w:r w:rsidRPr="00A15111">
        <w:t xml:space="preserve"> the newness </w:t>
      </w:r>
      <w:r w:rsidR="00F63397" w:rsidRPr="00A15111">
        <w:t xml:space="preserve">of the SDG agenda may mean </w:t>
      </w:r>
      <w:r w:rsidRPr="00A15111">
        <w:t xml:space="preserve">some institutions have yet to provide content related </w:t>
      </w:r>
      <w:r w:rsidR="00F63397" w:rsidRPr="00A15111">
        <w:t>to the SDGs</w:t>
      </w:r>
      <w:r w:rsidRPr="00A15111">
        <w:t xml:space="preserve"> on their websites.</w:t>
      </w:r>
      <w:r w:rsidR="00F63397" w:rsidRPr="00A15111">
        <w:t xml:space="preserve"> Reference to the MDGs provides some indication of whether institutions have engaged with international goals in the past and may be willing to do so in the future. The </w:t>
      </w:r>
      <w:r w:rsidRPr="00A15111">
        <w:t>google “site search”</w:t>
      </w:r>
      <w:r w:rsidR="00F63397" w:rsidRPr="00A15111">
        <w:t xml:space="preserve"> function was used to identify references to the SDGs and the MDGs.</w:t>
      </w:r>
      <w:r w:rsidRPr="00A15111">
        <w:t xml:space="preserve"> This type of search identifies all references to a particular topic from a website – in this case the websites of MCUs. </w:t>
      </w:r>
      <w:r w:rsidR="00282CBC" w:rsidRPr="00A15111">
        <w:t xml:space="preserve">For the colleges and universities in the sample, this approach also goes beyond IDS programs or international centres and programs and identifies references from any source on the website such as press releases and information provided by other departments, providing an indication of engagement on the SDGs across institutions. </w:t>
      </w:r>
      <w:r w:rsidRPr="00A15111">
        <w:t xml:space="preserve">The terms SDGs, Sustainable Development Goals, MDGs and Millennium Development Goals were searched with and without quotations. </w:t>
      </w:r>
      <w:r w:rsidR="008E54F9" w:rsidRPr="00716DFE">
        <w:rPr>
          <w:lang w:val="fr-CA"/>
        </w:rPr>
        <w:t xml:space="preserve">For French </w:t>
      </w:r>
      <w:r w:rsidR="008E54F9" w:rsidRPr="00716DFE">
        <w:rPr>
          <w:lang w:val="fr-CA"/>
        </w:rPr>
        <w:lastRenderedPageBreak/>
        <w:t xml:space="preserve">language institutions, the following were also searched: ODD, objectifs de développement durable, OMD and objectifs du Millénaire pour le développement. </w:t>
      </w:r>
      <w:r w:rsidRPr="00716DFE">
        <w:rPr>
          <w:lang w:val="fr-CA"/>
        </w:rPr>
        <w:t xml:space="preserve"> </w:t>
      </w:r>
    </w:p>
    <w:p w14:paraId="529145BC" w14:textId="364432B9" w:rsidR="00432A00" w:rsidRPr="00A15111" w:rsidRDefault="00432A00" w:rsidP="00432A00">
      <w:r w:rsidRPr="00A15111">
        <w:t xml:space="preserve">The strategic plans for MCUs were examined as a means to identify overarching priorities. Even in cases where MCUs do not refer to the SDGs, strategic plans provide insight on where potential areas for collective impact may exist vis-à-vis the SDG agenda. </w:t>
      </w:r>
      <w:r w:rsidR="006F2B02" w:rsidRPr="00A15111">
        <w:t xml:space="preserve">A special emphasis was also placed on relationships with indigenous communities, recognizing that the focus on leaving no one behind in </w:t>
      </w:r>
      <w:r w:rsidR="00BE6D9E" w:rsidRPr="00A15111">
        <w:t>the SDG</w:t>
      </w:r>
      <w:r w:rsidR="006F2B02" w:rsidRPr="00A15111">
        <w:t xml:space="preserve"> agenda will require renewed efforts in Canada to work with indigenous peoples.</w:t>
      </w:r>
    </w:p>
    <w:p w14:paraId="2A2D1B42" w14:textId="3F475BB9" w:rsidR="00F63397" w:rsidRPr="00A15111" w:rsidRDefault="00F63397" w:rsidP="00432A00">
      <w:r w:rsidRPr="00A15111">
        <w:t>In terms of international cooperation activities, websites were searched for special initiatives and programs. In most cases, where references to the SDGs and MDGs exis</w:t>
      </w:r>
      <w:r w:rsidR="00BE6D9E" w:rsidRPr="00A15111">
        <w:t>ted</w:t>
      </w:r>
      <w:r w:rsidRPr="00A15111">
        <w:t xml:space="preserve"> they pointed to international cooperation activities. For municipalities, site searches were also conducted using the terms international cooperation, international and international development.  </w:t>
      </w:r>
    </w:p>
    <w:p w14:paraId="1F7B8447" w14:textId="44BD90A8" w:rsidR="009B78A5" w:rsidRPr="00A15111" w:rsidRDefault="009B78A5" w:rsidP="009B78A5">
      <w:r w:rsidRPr="00A15111">
        <w:t>For colleges and universities, a</w:t>
      </w:r>
      <w:r w:rsidR="00282CBC" w:rsidRPr="00A15111">
        <w:t xml:space="preserve"> </w:t>
      </w:r>
      <w:r w:rsidR="00F63397" w:rsidRPr="00A15111">
        <w:t>systematized approach was used to</w:t>
      </w:r>
      <w:r w:rsidRPr="00A15111">
        <w:t xml:space="preserve"> review international cooperation activities. </w:t>
      </w:r>
      <w:r w:rsidR="00F63397" w:rsidRPr="00A15111">
        <w:t>Based on an initial understanding of the types of activities colleges and universities typically undertake, d</w:t>
      </w:r>
      <w:r w:rsidRPr="00A15111">
        <w:t xml:space="preserve">ata was collected on public engagement; policy dialogue; participation in communities of practice; study abroad and experiential learning opportunities; research initiatives and project delivery. Table 3 provides an overview of the framework for identifying and classifying college and university international cooperation activities.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9B78A5" w:rsidRPr="00A15111" w14:paraId="4E60426F" w14:textId="77777777" w:rsidTr="00716DFE">
        <w:trPr>
          <w:trHeight w:val="20"/>
          <w:tblHeader/>
        </w:trPr>
        <w:tc>
          <w:tcPr>
            <w:tcW w:w="9351" w:type="dxa"/>
            <w:gridSpan w:val="2"/>
            <w:shd w:val="clear" w:color="auto" w:fill="008D7F"/>
            <w:noWrap/>
            <w:vAlign w:val="bottom"/>
          </w:tcPr>
          <w:p w14:paraId="608E4E57" w14:textId="28EF5151" w:rsidR="009B78A5" w:rsidRPr="00A15111" w:rsidRDefault="009B78A5" w:rsidP="009B78A5">
            <w:pPr>
              <w:spacing w:after="0" w:line="240" w:lineRule="auto"/>
              <w:rPr>
                <w:rFonts w:eastAsia="Times New Roman" w:cs="Calibri"/>
                <w:b/>
                <w:color w:val="000000"/>
                <w:lang w:eastAsia="en-CA"/>
              </w:rPr>
            </w:pPr>
            <w:r w:rsidRPr="00A15111">
              <w:rPr>
                <w:rFonts w:eastAsia="Times New Roman" w:cs="Calibri"/>
                <w:b/>
                <w:color w:val="FFFFFF" w:themeColor="background1"/>
                <w:lang w:eastAsia="en-CA"/>
              </w:rPr>
              <w:t>Table</w:t>
            </w:r>
            <w:r w:rsidR="00BE6D9E" w:rsidRPr="00A15111">
              <w:rPr>
                <w:rFonts w:eastAsia="Times New Roman" w:cs="Calibri"/>
                <w:b/>
                <w:color w:val="FFFFFF" w:themeColor="background1"/>
                <w:lang w:eastAsia="en-CA"/>
              </w:rPr>
              <w:t xml:space="preserve"> 3. College and University International Cooperation A</w:t>
            </w:r>
            <w:r w:rsidRPr="00A15111">
              <w:rPr>
                <w:rFonts w:eastAsia="Times New Roman" w:cs="Calibri"/>
                <w:b/>
                <w:color w:val="FFFFFF" w:themeColor="background1"/>
                <w:lang w:eastAsia="en-CA"/>
              </w:rPr>
              <w:t xml:space="preserve">ctivities </w:t>
            </w:r>
          </w:p>
        </w:tc>
      </w:tr>
      <w:tr w:rsidR="009B78A5" w:rsidRPr="00A15111" w14:paraId="47AB0329" w14:textId="77777777" w:rsidTr="009B78A5">
        <w:trPr>
          <w:trHeight w:val="20"/>
        </w:trPr>
        <w:tc>
          <w:tcPr>
            <w:tcW w:w="2405" w:type="dxa"/>
            <w:shd w:val="clear" w:color="auto" w:fill="auto"/>
            <w:noWrap/>
            <w:vAlign w:val="bottom"/>
            <w:hideMark/>
          </w:tcPr>
          <w:p w14:paraId="5DE18C91"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 xml:space="preserve">Public Engagement </w:t>
            </w:r>
          </w:p>
        </w:tc>
        <w:tc>
          <w:tcPr>
            <w:tcW w:w="6946" w:type="dxa"/>
            <w:shd w:val="clear" w:color="auto" w:fill="auto"/>
            <w:vAlign w:val="bottom"/>
            <w:hideMark/>
          </w:tcPr>
          <w:p w14:paraId="30DA7443" w14:textId="69641045"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 xml:space="preserve">Activities geared at educating the public on issues related to international cooperation. Includes, </w:t>
            </w:r>
            <w:r w:rsidRPr="00A15111">
              <w:rPr>
                <w:rFonts w:eastAsia="Times New Roman" w:cs="Calibri"/>
                <w:i/>
                <w:iCs/>
                <w:color w:val="000000"/>
                <w:lang w:eastAsia="en-CA"/>
              </w:rPr>
              <w:t>inter alia</w:t>
            </w:r>
            <w:r w:rsidRPr="00A15111">
              <w:rPr>
                <w:rFonts w:eastAsia="Times New Roman" w:cs="Calibri"/>
                <w:color w:val="000000"/>
                <w:lang w:eastAsia="en-CA"/>
              </w:rPr>
              <w:t xml:space="preserve">, </w:t>
            </w:r>
            <w:r w:rsidR="00BE6D9E" w:rsidRPr="00A15111">
              <w:rPr>
                <w:rFonts w:eastAsia="Times New Roman" w:cs="Calibri"/>
                <w:color w:val="000000"/>
                <w:lang w:eastAsia="en-CA"/>
              </w:rPr>
              <w:t>public events, media engagement</w:t>
            </w:r>
            <w:r w:rsidRPr="00A15111">
              <w:rPr>
                <w:rFonts w:eastAsia="Times New Roman" w:cs="Calibri"/>
                <w:color w:val="000000"/>
                <w:lang w:eastAsia="en-CA"/>
              </w:rPr>
              <w:t xml:space="preserve"> and the development of public education/engagement materials.</w:t>
            </w:r>
          </w:p>
        </w:tc>
      </w:tr>
      <w:tr w:rsidR="009B78A5" w:rsidRPr="00A15111" w14:paraId="63D956E9" w14:textId="77777777" w:rsidTr="009B78A5">
        <w:trPr>
          <w:trHeight w:val="20"/>
        </w:trPr>
        <w:tc>
          <w:tcPr>
            <w:tcW w:w="2405" w:type="dxa"/>
            <w:shd w:val="clear" w:color="auto" w:fill="auto"/>
            <w:noWrap/>
            <w:vAlign w:val="bottom"/>
            <w:hideMark/>
          </w:tcPr>
          <w:p w14:paraId="06A5070D"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Policy Dialogue</w:t>
            </w:r>
          </w:p>
        </w:tc>
        <w:tc>
          <w:tcPr>
            <w:tcW w:w="6946" w:type="dxa"/>
            <w:shd w:val="clear" w:color="auto" w:fill="auto"/>
            <w:vAlign w:val="bottom"/>
            <w:hideMark/>
          </w:tcPr>
          <w:p w14:paraId="040C3852"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 xml:space="preserve">Activities geared at engaging the policy community on international cooperation, including politicians, bureaucrats, civil society, the business sector and other academics. Includes, </w:t>
            </w:r>
            <w:r w:rsidRPr="00A15111">
              <w:rPr>
                <w:rFonts w:eastAsia="Times New Roman" w:cs="Calibri"/>
                <w:i/>
                <w:iCs/>
                <w:color w:val="000000"/>
                <w:lang w:eastAsia="en-CA"/>
              </w:rPr>
              <w:t xml:space="preserve">inter alia, </w:t>
            </w:r>
            <w:r w:rsidRPr="00A15111">
              <w:rPr>
                <w:rFonts w:eastAsia="Times New Roman" w:cs="Calibri"/>
                <w:color w:val="000000"/>
                <w:lang w:eastAsia="en-CA"/>
              </w:rPr>
              <w:t>events, direct engagements, preparation of policy-oriented written materials.</w:t>
            </w:r>
          </w:p>
        </w:tc>
      </w:tr>
      <w:tr w:rsidR="009B78A5" w:rsidRPr="00A15111" w14:paraId="53A3EA63" w14:textId="77777777" w:rsidTr="009B78A5">
        <w:trPr>
          <w:trHeight w:val="20"/>
        </w:trPr>
        <w:tc>
          <w:tcPr>
            <w:tcW w:w="2405" w:type="dxa"/>
            <w:shd w:val="clear" w:color="auto" w:fill="auto"/>
            <w:noWrap/>
            <w:vAlign w:val="bottom"/>
            <w:hideMark/>
          </w:tcPr>
          <w:p w14:paraId="23E82088"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Community of Practice</w:t>
            </w:r>
          </w:p>
        </w:tc>
        <w:tc>
          <w:tcPr>
            <w:tcW w:w="6946" w:type="dxa"/>
            <w:shd w:val="clear" w:color="auto" w:fill="auto"/>
            <w:vAlign w:val="bottom"/>
            <w:hideMark/>
          </w:tcPr>
          <w:p w14:paraId="1B34CCDD"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 xml:space="preserve">Efforts to establish and build a specific community of academics/practitioners, policymakers, etc. around issues related to international cooperation. Includes knowledge sharing mechanisms and events. </w:t>
            </w:r>
          </w:p>
        </w:tc>
      </w:tr>
      <w:tr w:rsidR="009B78A5" w:rsidRPr="00A15111" w14:paraId="11701F4A" w14:textId="77777777" w:rsidTr="009B78A5">
        <w:trPr>
          <w:trHeight w:val="20"/>
        </w:trPr>
        <w:tc>
          <w:tcPr>
            <w:tcW w:w="2405" w:type="dxa"/>
            <w:shd w:val="clear" w:color="auto" w:fill="auto"/>
            <w:noWrap/>
            <w:vAlign w:val="bottom"/>
            <w:hideMark/>
          </w:tcPr>
          <w:p w14:paraId="5263C955"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Study Abroad</w:t>
            </w:r>
          </w:p>
        </w:tc>
        <w:tc>
          <w:tcPr>
            <w:tcW w:w="6946" w:type="dxa"/>
            <w:shd w:val="clear" w:color="auto" w:fill="auto"/>
            <w:vAlign w:val="bottom"/>
            <w:hideMark/>
          </w:tcPr>
          <w:p w14:paraId="592F94E6"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F63397" w:rsidRPr="00A15111">
              <w:rPr>
                <w:rFonts w:eastAsia="Times New Roman" w:cs="Calibri"/>
                <w:color w:val="000000"/>
                <w:lang w:eastAsia="en-CA"/>
              </w:rPr>
              <w:t>/institution</w:t>
            </w:r>
            <w:r w:rsidRPr="00A15111">
              <w:rPr>
                <w:rFonts w:eastAsia="Times New Roman" w:cs="Calibri"/>
                <w:color w:val="000000"/>
                <w:lang w:eastAsia="en-CA"/>
              </w:rPr>
              <w:t xml:space="preserve"> includes provisions for students to study outside of Canada. </w:t>
            </w:r>
          </w:p>
        </w:tc>
      </w:tr>
      <w:tr w:rsidR="009B78A5" w:rsidRPr="00A15111" w14:paraId="4FACE956" w14:textId="77777777" w:rsidTr="009B78A5">
        <w:trPr>
          <w:trHeight w:val="20"/>
        </w:trPr>
        <w:tc>
          <w:tcPr>
            <w:tcW w:w="2405" w:type="dxa"/>
            <w:shd w:val="clear" w:color="auto" w:fill="auto"/>
            <w:noWrap/>
            <w:vAlign w:val="bottom"/>
            <w:hideMark/>
          </w:tcPr>
          <w:p w14:paraId="156D044C"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Experiential Learning - Co-op</w:t>
            </w:r>
          </w:p>
        </w:tc>
        <w:tc>
          <w:tcPr>
            <w:tcW w:w="6946" w:type="dxa"/>
            <w:shd w:val="clear" w:color="auto" w:fill="auto"/>
            <w:vAlign w:val="bottom"/>
            <w:hideMark/>
          </w:tcPr>
          <w:p w14:paraId="124A83BF"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F63397" w:rsidRPr="00A15111">
              <w:rPr>
                <w:rFonts w:eastAsia="Times New Roman" w:cs="Calibri"/>
                <w:color w:val="000000"/>
                <w:lang w:eastAsia="en-CA"/>
              </w:rPr>
              <w:t>/institution</w:t>
            </w:r>
            <w:r w:rsidRPr="00A15111">
              <w:rPr>
                <w:rFonts w:eastAsia="Times New Roman" w:cs="Calibri"/>
                <w:color w:val="000000"/>
                <w:lang w:eastAsia="en-CA"/>
              </w:rPr>
              <w:t xml:space="preserve"> has a formal co-operative education option for students to work with organizations that engage in international cooperation.</w:t>
            </w:r>
          </w:p>
        </w:tc>
      </w:tr>
      <w:tr w:rsidR="009B78A5" w:rsidRPr="00A15111" w14:paraId="01534380" w14:textId="77777777" w:rsidTr="009B78A5">
        <w:trPr>
          <w:trHeight w:val="20"/>
        </w:trPr>
        <w:tc>
          <w:tcPr>
            <w:tcW w:w="2405" w:type="dxa"/>
            <w:shd w:val="clear" w:color="auto" w:fill="auto"/>
            <w:noWrap/>
            <w:vAlign w:val="bottom"/>
            <w:hideMark/>
          </w:tcPr>
          <w:p w14:paraId="378075DD"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Experiential Learning - Internship</w:t>
            </w:r>
          </w:p>
        </w:tc>
        <w:tc>
          <w:tcPr>
            <w:tcW w:w="6946" w:type="dxa"/>
            <w:shd w:val="clear" w:color="auto" w:fill="auto"/>
            <w:vAlign w:val="bottom"/>
            <w:hideMark/>
          </w:tcPr>
          <w:p w14:paraId="56366F28" w14:textId="77777777" w:rsidR="009B78A5" w:rsidRPr="00A15111" w:rsidRDefault="009B78A5" w:rsidP="00F63397">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F63397" w:rsidRPr="00A15111">
              <w:rPr>
                <w:rFonts w:eastAsia="Times New Roman" w:cs="Calibri"/>
                <w:color w:val="000000"/>
                <w:lang w:eastAsia="en-CA"/>
              </w:rPr>
              <w:t>/institution</w:t>
            </w:r>
            <w:r w:rsidR="006F24B3" w:rsidRPr="00A15111">
              <w:rPr>
                <w:rFonts w:eastAsia="Times New Roman" w:cs="Calibri"/>
                <w:color w:val="000000"/>
                <w:lang w:eastAsia="en-CA"/>
              </w:rPr>
              <w:t xml:space="preserve"> has </w:t>
            </w:r>
            <w:r w:rsidRPr="00A15111">
              <w:rPr>
                <w:rFonts w:eastAsia="Times New Roman" w:cs="Calibri"/>
                <w:color w:val="000000"/>
                <w:lang w:eastAsia="en-CA"/>
              </w:rPr>
              <w:t xml:space="preserve">formal and/or informal internship options for students to work with organizations that engage in international cooperation. </w:t>
            </w:r>
          </w:p>
        </w:tc>
      </w:tr>
      <w:tr w:rsidR="009B78A5" w:rsidRPr="00A15111" w14:paraId="2FF9395D" w14:textId="77777777" w:rsidTr="009B78A5">
        <w:trPr>
          <w:trHeight w:val="20"/>
        </w:trPr>
        <w:tc>
          <w:tcPr>
            <w:tcW w:w="2405" w:type="dxa"/>
            <w:shd w:val="clear" w:color="auto" w:fill="auto"/>
            <w:noWrap/>
            <w:vAlign w:val="bottom"/>
            <w:hideMark/>
          </w:tcPr>
          <w:p w14:paraId="7251438A"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Experiential Learning - Volunteer</w:t>
            </w:r>
          </w:p>
        </w:tc>
        <w:tc>
          <w:tcPr>
            <w:tcW w:w="6946" w:type="dxa"/>
            <w:shd w:val="clear" w:color="auto" w:fill="auto"/>
            <w:vAlign w:val="bottom"/>
            <w:hideMark/>
          </w:tcPr>
          <w:p w14:paraId="3298EE42" w14:textId="77777777" w:rsidR="009B78A5" w:rsidRPr="00A15111" w:rsidRDefault="009B78A5" w:rsidP="006F24B3">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6F24B3" w:rsidRPr="00A15111">
              <w:rPr>
                <w:rFonts w:eastAsia="Times New Roman" w:cs="Calibri"/>
                <w:color w:val="000000"/>
                <w:lang w:eastAsia="en-CA"/>
              </w:rPr>
              <w:t>/institution</w:t>
            </w:r>
            <w:r w:rsidRPr="00A15111">
              <w:rPr>
                <w:rFonts w:eastAsia="Times New Roman" w:cs="Calibri"/>
                <w:color w:val="000000"/>
                <w:lang w:eastAsia="en-CA"/>
              </w:rPr>
              <w:t xml:space="preserve"> has formal and/or informal volunteer options for students to work with organizations or in a self-directed capacity on international cooperation issues.</w:t>
            </w:r>
          </w:p>
        </w:tc>
      </w:tr>
      <w:tr w:rsidR="009B78A5" w:rsidRPr="00A15111" w14:paraId="6BD8B5AF" w14:textId="77777777" w:rsidTr="009B78A5">
        <w:trPr>
          <w:trHeight w:val="20"/>
        </w:trPr>
        <w:tc>
          <w:tcPr>
            <w:tcW w:w="2405" w:type="dxa"/>
            <w:shd w:val="clear" w:color="auto" w:fill="auto"/>
            <w:noWrap/>
            <w:vAlign w:val="bottom"/>
            <w:hideMark/>
          </w:tcPr>
          <w:p w14:paraId="071A6108"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Applied Research</w:t>
            </w:r>
          </w:p>
        </w:tc>
        <w:tc>
          <w:tcPr>
            <w:tcW w:w="6946" w:type="dxa"/>
            <w:shd w:val="clear" w:color="auto" w:fill="auto"/>
            <w:vAlign w:val="bottom"/>
            <w:hideMark/>
          </w:tcPr>
          <w:p w14:paraId="1A0924E2" w14:textId="77777777" w:rsidR="009B78A5" w:rsidRPr="00A15111" w:rsidRDefault="009B78A5" w:rsidP="006F24B3">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6F24B3" w:rsidRPr="00A15111">
              <w:rPr>
                <w:rFonts w:eastAsia="Times New Roman" w:cs="Calibri"/>
                <w:color w:val="000000"/>
                <w:lang w:eastAsia="en-CA"/>
              </w:rPr>
              <w:t>/institution</w:t>
            </w:r>
            <w:r w:rsidRPr="00A15111">
              <w:rPr>
                <w:rFonts w:eastAsia="Times New Roman" w:cs="Calibri"/>
                <w:color w:val="000000"/>
                <w:lang w:eastAsia="en-CA"/>
              </w:rPr>
              <w:t xml:space="preserve"> has formal and/or informal opportunities for students to conduct applied research on international cooperation issues. </w:t>
            </w:r>
          </w:p>
        </w:tc>
      </w:tr>
      <w:tr w:rsidR="009B78A5" w:rsidRPr="00A15111" w14:paraId="60DA5308" w14:textId="77777777" w:rsidTr="009B78A5">
        <w:trPr>
          <w:trHeight w:val="20"/>
        </w:trPr>
        <w:tc>
          <w:tcPr>
            <w:tcW w:w="2405" w:type="dxa"/>
            <w:shd w:val="clear" w:color="auto" w:fill="auto"/>
            <w:noWrap/>
            <w:vAlign w:val="bottom"/>
            <w:hideMark/>
          </w:tcPr>
          <w:p w14:paraId="73BEF4A1"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lastRenderedPageBreak/>
              <w:t>Funded Research</w:t>
            </w:r>
          </w:p>
        </w:tc>
        <w:tc>
          <w:tcPr>
            <w:tcW w:w="6946" w:type="dxa"/>
            <w:shd w:val="clear" w:color="auto" w:fill="auto"/>
            <w:vAlign w:val="bottom"/>
            <w:hideMark/>
          </w:tcPr>
          <w:p w14:paraId="7FBBC0A4"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Program</w:t>
            </w:r>
            <w:r w:rsidR="006F24B3" w:rsidRPr="00A15111">
              <w:rPr>
                <w:rFonts w:eastAsia="Times New Roman" w:cs="Calibri"/>
                <w:color w:val="000000"/>
                <w:lang w:eastAsia="en-CA"/>
              </w:rPr>
              <w:t>/institution</w:t>
            </w:r>
            <w:r w:rsidRPr="00A15111">
              <w:rPr>
                <w:rFonts w:eastAsia="Times New Roman" w:cs="Calibri"/>
                <w:color w:val="000000"/>
                <w:lang w:eastAsia="en-CA"/>
              </w:rPr>
              <w:t xml:space="preserve"> has externally funded research projects on international cooperation issues or SDG related issues in Canada. </w:t>
            </w:r>
          </w:p>
        </w:tc>
      </w:tr>
      <w:tr w:rsidR="009B78A5" w:rsidRPr="00A15111" w14:paraId="07086660" w14:textId="77777777" w:rsidTr="009B78A5">
        <w:trPr>
          <w:trHeight w:val="20"/>
        </w:trPr>
        <w:tc>
          <w:tcPr>
            <w:tcW w:w="2405" w:type="dxa"/>
            <w:shd w:val="clear" w:color="auto" w:fill="auto"/>
            <w:noWrap/>
            <w:vAlign w:val="bottom"/>
            <w:hideMark/>
          </w:tcPr>
          <w:p w14:paraId="32B032B3"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Collaborative Research - International</w:t>
            </w:r>
          </w:p>
        </w:tc>
        <w:tc>
          <w:tcPr>
            <w:tcW w:w="6946" w:type="dxa"/>
            <w:shd w:val="clear" w:color="auto" w:fill="auto"/>
            <w:vAlign w:val="bottom"/>
            <w:hideMark/>
          </w:tcPr>
          <w:p w14:paraId="2C95B9DF"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Engagement in research collaborations with organizations based outside of Canada on international cooperation / SDG related issues.</w:t>
            </w:r>
          </w:p>
        </w:tc>
      </w:tr>
      <w:tr w:rsidR="009B78A5" w:rsidRPr="00A15111" w14:paraId="65B67823" w14:textId="77777777" w:rsidTr="009B78A5">
        <w:trPr>
          <w:trHeight w:val="20"/>
        </w:trPr>
        <w:tc>
          <w:tcPr>
            <w:tcW w:w="2405" w:type="dxa"/>
            <w:shd w:val="clear" w:color="auto" w:fill="auto"/>
            <w:noWrap/>
            <w:vAlign w:val="bottom"/>
            <w:hideMark/>
          </w:tcPr>
          <w:p w14:paraId="684C137D"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Collaborative Research - Canada, Academic</w:t>
            </w:r>
          </w:p>
        </w:tc>
        <w:tc>
          <w:tcPr>
            <w:tcW w:w="6946" w:type="dxa"/>
            <w:shd w:val="clear" w:color="auto" w:fill="auto"/>
            <w:vAlign w:val="bottom"/>
            <w:hideMark/>
          </w:tcPr>
          <w:p w14:paraId="49949F77"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Engagement in research collaborations with academic organizations based in Canada on international cooperation / SDG related issues.</w:t>
            </w:r>
          </w:p>
        </w:tc>
      </w:tr>
      <w:tr w:rsidR="009B78A5" w:rsidRPr="00A15111" w14:paraId="43D6E660" w14:textId="77777777" w:rsidTr="009B78A5">
        <w:trPr>
          <w:trHeight w:val="20"/>
        </w:trPr>
        <w:tc>
          <w:tcPr>
            <w:tcW w:w="2405" w:type="dxa"/>
            <w:shd w:val="clear" w:color="auto" w:fill="auto"/>
            <w:noWrap/>
            <w:vAlign w:val="bottom"/>
            <w:hideMark/>
          </w:tcPr>
          <w:p w14:paraId="242BC3BD"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Collaborative Research - Canada, CSO</w:t>
            </w:r>
          </w:p>
        </w:tc>
        <w:tc>
          <w:tcPr>
            <w:tcW w:w="6946" w:type="dxa"/>
            <w:shd w:val="clear" w:color="auto" w:fill="auto"/>
            <w:vAlign w:val="bottom"/>
            <w:hideMark/>
          </w:tcPr>
          <w:p w14:paraId="3E00E827" w14:textId="77777777" w:rsidR="009B78A5" w:rsidRPr="00A15111" w:rsidRDefault="009B78A5" w:rsidP="006F24B3">
            <w:pPr>
              <w:spacing w:after="0" w:line="240" w:lineRule="auto"/>
              <w:rPr>
                <w:rFonts w:eastAsia="Times New Roman" w:cs="Calibri"/>
                <w:color w:val="000000"/>
                <w:lang w:eastAsia="en-CA"/>
              </w:rPr>
            </w:pPr>
            <w:r w:rsidRPr="00A15111">
              <w:rPr>
                <w:rFonts w:eastAsia="Times New Roman" w:cs="Calibri"/>
                <w:color w:val="000000"/>
                <w:lang w:eastAsia="en-CA"/>
              </w:rPr>
              <w:t xml:space="preserve">Engagement in research collaborations with </w:t>
            </w:r>
            <w:r w:rsidR="006F24B3" w:rsidRPr="00A15111">
              <w:rPr>
                <w:rFonts w:eastAsia="Times New Roman" w:cs="Calibri"/>
                <w:color w:val="000000"/>
                <w:lang w:eastAsia="en-CA"/>
              </w:rPr>
              <w:t>CSO</w:t>
            </w:r>
            <w:r w:rsidRPr="00A15111">
              <w:rPr>
                <w:rFonts w:eastAsia="Times New Roman" w:cs="Calibri"/>
                <w:color w:val="000000"/>
                <w:lang w:eastAsia="en-CA"/>
              </w:rPr>
              <w:t>s based in Canada on international cooperation / SDG related issues.</w:t>
            </w:r>
          </w:p>
        </w:tc>
      </w:tr>
      <w:tr w:rsidR="009B78A5" w:rsidRPr="00A15111" w14:paraId="643D9883" w14:textId="77777777" w:rsidTr="009B78A5">
        <w:trPr>
          <w:trHeight w:val="20"/>
        </w:trPr>
        <w:tc>
          <w:tcPr>
            <w:tcW w:w="2405" w:type="dxa"/>
            <w:shd w:val="clear" w:color="auto" w:fill="auto"/>
            <w:noWrap/>
            <w:vAlign w:val="bottom"/>
            <w:hideMark/>
          </w:tcPr>
          <w:p w14:paraId="2650D249"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Project Delivery</w:t>
            </w:r>
          </w:p>
        </w:tc>
        <w:tc>
          <w:tcPr>
            <w:tcW w:w="6946" w:type="dxa"/>
            <w:shd w:val="clear" w:color="auto" w:fill="auto"/>
            <w:vAlign w:val="bottom"/>
            <w:hideMark/>
          </w:tcPr>
          <w:p w14:paraId="059FF318" w14:textId="77777777" w:rsidR="009B78A5" w:rsidRPr="00A15111" w:rsidRDefault="009B78A5" w:rsidP="009B78A5">
            <w:pPr>
              <w:spacing w:after="0" w:line="240" w:lineRule="auto"/>
              <w:rPr>
                <w:rFonts w:eastAsia="Times New Roman" w:cs="Calibri"/>
                <w:color w:val="000000"/>
                <w:lang w:eastAsia="en-CA"/>
              </w:rPr>
            </w:pPr>
            <w:r w:rsidRPr="00A15111">
              <w:rPr>
                <w:rFonts w:eastAsia="Times New Roman" w:cs="Calibri"/>
                <w:color w:val="000000"/>
                <w:lang w:eastAsia="en-CA"/>
              </w:rPr>
              <w:t>Projects carried out by universities or colleges in developing countries (e.g. curriculum development, delivery of education, etc.) whose primary focus is not necessarily research.</w:t>
            </w:r>
          </w:p>
        </w:tc>
      </w:tr>
    </w:tbl>
    <w:p w14:paraId="2A10CDA8" w14:textId="77777777" w:rsidR="009B78A5" w:rsidRPr="00A15111" w:rsidRDefault="009B78A5" w:rsidP="009B78A5">
      <w:pPr>
        <w:spacing w:after="0"/>
      </w:pPr>
    </w:p>
    <w:p w14:paraId="61AE675E" w14:textId="77777777" w:rsidR="008E2AC4" w:rsidRPr="00A15111" w:rsidRDefault="008E2AC4" w:rsidP="007E5137">
      <w:pPr>
        <w:pStyle w:val="Heading2"/>
      </w:pPr>
      <w:bookmarkStart w:id="16" w:name="_Toc462982529"/>
      <w:bookmarkStart w:id="17" w:name="_Toc462988903"/>
      <w:bookmarkStart w:id="18" w:name="_Toc463342150"/>
      <w:bookmarkStart w:id="19" w:name="_Toc467163281"/>
      <w:r w:rsidRPr="00A15111">
        <w:t>Limitations</w:t>
      </w:r>
      <w:bookmarkEnd w:id="16"/>
      <w:bookmarkEnd w:id="17"/>
      <w:bookmarkEnd w:id="18"/>
      <w:bookmarkEnd w:id="19"/>
      <w:r w:rsidRPr="00A15111">
        <w:t xml:space="preserve"> </w:t>
      </w:r>
    </w:p>
    <w:p w14:paraId="7AC069F8" w14:textId="3ABBFFE9" w:rsidR="008E2AC4" w:rsidRPr="00A15111" w:rsidRDefault="009B78A5" w:rsidP="009B78A5">
      <w:r w:rsidRPr="00A15111">
        <w:t>The main limitation of the research is that it is based on</w:t>
      </w:r>
      <w:r w:rsidR="008E2AC4" w:rsidRPr="00A15111">
        <w:t xml:space="preserve"> publicly available</w:t>
      </w:r>
      <w:r w:rsidRPr="00A15111">
        <w:t xml:space="preserve"> information on MCU websites. To ensure cons</w:t>
      </w:r>
      <w:r w:rsidR="006F24B3" w:rsidRPr="00A15111">
        <w:t xml:space="preserve">istency across the review, only information </w:t>
      </w:r>
      <w:r w:rsidRPr="00A15111">
        <w:t>that w</w:t>
      </w:r>
      <w:r w:rsidR="00282CBC" w:rsidRPr="00A15111">
        <w:t xml:space="preserve">as </w:t>
      </w:r>
      <w:r w:rsidRPr="00A15111">
        <w:t>expli</w:t>
      </w:r>
      <w:r w:rsidR="006F24B3" w:rsidRPr="00A15111">
        <w:t>citly mentioned on websites was included. I</w:t>
      </w:r>
      <w:r w:rsidR="001574FE" w:rsidRPr="00A15111">
        <w:t>nitiatives</w:t>
      </w:r>
      <w:r w:rsidRPr="00A15111">
        <w:t xml:space="preserve"> for which there is no public information were not captured</w:t>
      </w:r>
      <w:r w:rsidR="00282CBC" w:rsidRPr="00A15111">
        <w:t>.</w:t>
      </w:r>
      <w:r w:rsidR="00912C82" w:rsidRPr="00A15111">
        <w:t xml:space="preserve"> T</w:t>
      </w:r>
      <w:r w:rsidRPr="00A15111">
        <w:t xml:space="preserve">he findings </w:t>
      </w:r>
      <w:r w:rsidR="006F24B3" w:rsidRPr="00A15111">
        <w:t xml:space="preserve">presented below </w:t>
      </w:r>
      <w:r w:rsidR="00912C82" w:rsidRPr="00A15111">
        <w:t xml:space="preserve">likely </w:t>
      </w:r>
      <w:r w:rsidRPr="00A15111">
        <w:t xml:space="preserve">underrepresent </w:t>
      </w:r>
      <w:r w:rsidR="006F24B3" w:rsidRPr="00A15111">
        <w:t>MCU engagement in international cooperation</w:t>
      </w:r>
      <w:r w:rsidR="001574FE" w:rsidRPr="00A15111">
        <w:t>. Moreover, some MCUs provide more information on their websites than others. For example, some colleges and universities prominently showcase</w:t>
      </w:r>
      <w:r w:rsidR="006F24B3" w:rsidRPr="00A15111">
        <w:t xml:space="preserve"> their international development oriented </w:t>
      </w:r>
      <w:r w:rsidR="001574FE" w:rsidRPr="00A15111">
        <w:t xml:space="preserve">research projects, whereas others provide very little information. </w:t>
      </w:r>
      <w:r w:rsidR="00164883" w:rsidRPr="00A15111">
        <w:t>Another limitation</w:t>
      </w:r>
      <w:r w:rsidR="006F24B3" w:rsidRPr="00A15111">
        <w:t xml:space="preserve"> is the focus on IDS</w:t>
      </w:r>
      <w:r w:rsidR="00164883" w:rsidRPr="00A15111">
        <w:t xml:space="preserve"> and international centres</w:t>
      </w:r>
      <w:r w:rsidR="006F24B3" w:rsidRPr="00A15111">
        <w:t xml:space="preserve"> and programs</w:t>
      </w:r>
      <w:r w:rsidR="00164883" w:rsidRPr="00A15111">
        <w:t xml:space="preserve">. As noted above, a wide range of college and university departments engage in international cooperation. Nevertheless, this research should be understood as an initial starting point and scoping study to inform the OCIC collective impact </w:t>
      </w:r>
      <w:r w:rsidR="006F24B3" w:rsidRPr="00A15111">
        <w:t xml:space="preserve">initiative. </w:t>
      </w:r>
      <w:r w:rsidR="00164883" w:rsidRPr="00A15111">
        <w:t>OCIC</w:t>
      </w:r>
      <w:r w:rsidR="006F24B3" w:rsidRPr="00A15111">
        <w:t xml:space="preserve"> will address research gaps through f</w:t>
      </w:r>
      <w:r w:rsidR="00164883" w:rsidRPr="00A15111">
        <w:t xml:space="preserve">urther </w:t>
      </w:r>
      <w:r w:rsidR="006F24B3" w:rsidRPr="00A15111">
        <w:t xml:space="preserve">engagement </w:t>
      </w:r>
      <w:r w:rsidR="00164883" w:rsidRPr="00A15111">
        <w:t>with a wide range of stakeholders in phase</w:t>
      </w:r>
      <w:r w:rsidR="006F24B3" w:rsidRPr="00A15111">
        <w:t xml:space="preserve"> two</w:t>
      </w:r>
      <w:r w:rsidR="00164883" w:rsidRPr="00A15111">
        <w:t xml:space="preserve">. </w:t>
      </w:r>
    </w:p>
    <w:p w14:paraId="42AE53B8" w14:textId="77777777" w:rsidR="00F13ECA" w:rsidRPr="00A15111" w:rsidRDefault="00164883" w:rsidP="00164883">
      <w:pPr>
        <w:pStyle w:val="Heading1"/>
      </w:pPr>
      <w:bookmarkStart w:id="20" w:name="_Toc467163282"/>
      <w:r w:rsidRPr="00A15111">
        <w:t xml:space="preserve">Key </w:t>
      </w:r>
      <w:r w:rsidR="00F13ECA" w:rsidRPr="00A15111">
        <w:t>Findings</w:t>
      </w:r>
      <w:bookmarkEnd w:id="20"/>
    </w:p>
    <w:p w14:paraId="34CE80CD" w14:textId="77777777" w:rsidR="00F13ECA" w:rsidRPr="00A15111" w:rsidRDefault="00F13ECA" w:rsidP="00164883">
      <w:pPr>
        <w:pStyle w:val="Heading2"/>
      </w:pPr>
      <w:bookmarkStart w:id="21" w:name="_Toc462982531"/>
      <w:bookmarkStart w:id="22" w:name="_Toc462988905"/>
      <w:bookmarkStart w:id="23" w:name="_Toc463342152"/>
      <w:bookmarkStart w:id="24" w:name="_Toc467163283"/>
      <w:r w:rsidRPr="00A15111">
        <w:t>Municipalities</w:t>
      </w:r>
      <w:bookmarkEnd w:id="21"/>
      <w:bookmarkEnd w:id="22"/>
      <w:bookmarkEnd w:id="23"/>
      <w:bookmarkEnd w:id="24"/>
    </w:p>
    <w:p w14:paraId="713012D5" w14:textId="663016BA" w:rsidR="00F13ECA" w:rsidRPr="00A15111" w:rsidRDefault="00EB3F02" w:rsidP="00EB3F02">
      <w:r w:rsidRPr="00A15111">
        <w:t>Across the municipal associations and municipalities examined, there is more information available on from individual municipalities than municipal associations (with the exception of the Federation of Canadian Municipalities</w:t>
      </w:r>
      <w:r w:rsidR="00C353FA" w:rsidRPr="00A15111">
        <w:t xml:space="preserve"> (FCM)</w:t>
      </w:r>
      <w:r w:rsidRPr="00A15111">
        <w:t xml:space="preserve">). Nevertheless, the review of municipal associations did provide some insight into potential linkages with the SDGs and areas for future collaboration. </w:t>
      </w:r>
      <w:r w:rsidR="00F13ECA" w:rsidRPr="00A15111">
        <w:t xml:space="preserve"> </w:t>
      </w:r>
    </w:p>
    <w:p w14:paraId="75E4EDCA" w14:textId="0D0862F9" w:rsidR="00122BE4" w:rsidRPr="00201551" w:rsidRDefault="00EB3F02" w:rsidP="00EB3F02">
      <w:pPr>
        <w:pStyle w:val="Heading3"/>
        <w:rPr>
          <w:color w:val="auto"/>
        </w:rPr>
      </w:pPr>
      <w:bookmarkStart w:id="25" w:name="_Toc462982532"/>
      <w:bookmarkStart w:id="26" w:name="_Toc462988906"/>
      <w:bookmarkStart w:id="27" w:name="_Toc463342153"/>
      <w:bookmarkStart w:id="28" w:name="_Toc467163284"/>
      <w:r w:rsidRPr="00201551">
        <w:rPr>
          <w:color w:val="auto"/>
        </w:rPr>
        <w:t xml:space="preserve">Linkages to the </w:t>
      </w:r>
      <w:r w:rsidR="00F13ECA" w:rsidRPr="00201551">
        <w:rPr>
          <w:color w:val="auto"/>
        </w:rPr>
        <w:t>SDGs</w:t>
      </w:r>
      <w:bookmarkEnd w:id="25"/>
      <w:bookmarkEnd w:id="26"/>
      <w:bookmarkEnd w:id="27"/>
      <w:bookmarkEnd w:id="28"/>
    </w:p>
    <w:p w14:paraId="01CF684D" w14:textId="3A228C3B" w:rsidR="00FA2C27" w:rsidRPr="00A15111" w:rsidRDefault="00EB3F02" w:rsidP="00FA2C27">
      <w:r w:rsidRPr="00A15111">
        <w:t xml:space="preserve">Overall, there is limited to passing reference </w:t>
      </w:r>
      <w:r w:rsidR="00912C82" w:rsidRPr="00A15111">
        <w:t xml:space="preserve">to </w:t>
      </w:r>
      <w:r w:rsidRPr="00A15111">
        <w:t>international agreed development goals – either the SDGs or the MDGs – by municipal associations and municipalities.</w:t>
      </w:r>
      <w:r w:rsidR="00C353FA" w:rsidRPr="00A15111">
        <w:t xml:space="preserve"> With the exception of FCM (Box 1), none of the municipal associations make reference to the SDGs or the MDGs. </w:t>
      </w:r>
      <w:r w:rsidRPr="00A15111">
        <w:t xml:space="preserve"> </w:t>
      </w:r>
    </w:p>
    <w:p w14:paraId="6FB4E2FE" w14:textId="5A6A8DA5" w:rsidR="00EB3F02" w:rsidRPr="00A15111" w:rsidRDefault="00FA2C27" w:rsidP="00EB3F02">
      <w:r w:rsidRPr="00A15111">
        <w:t>Of the 13 municipalities examined, only four refer to international</w:t>
      </w:r>
      <w:r w:rsidR="00912C82" w:rsidRPr="00A15111">
        <w:t>ly</w:t>
      </w:r>
      <w:r w:rsidRPr="00A15111">
        <w:t xml:space="preserve"> agreed development goals. The City of Waterloo has hosted a ‘Codefest’ event that linked to SDG ambitions of supporting open, transparent and accountable government and the mayor of Kitchener spoke at the UN High Level Political Forum on Sustainable Development in 2016. Toronto and the Region of Waterloo have made passing reference to the MDGs in documents related to council decisions.  T</w:t>
      </w:r>
      <w:r w:rsidRPr="00A15111">
        <w:rPr>
          <w:rFonts w:cstheme="minorHAnsi"/>
          <w:color w:val="222222"/>
          <w:shd w:val="clear" w:color="auto" w:fill="FFFFFF"/>
        </w:rPr>
        <w:t xml:space="preserve">hough it does not explicitly reference the SDGs or </w:t>
      </w:r>
      <w:r w:rsidRPr="00A15111">
        <w:rPr>
          <w:rFonts w:cstheme="minorHAnsi"/>
          <w:color w:val="222222"/>
          <w:shd w:val="clear" w:color="auto" w:fill="FFFFFF"/>
        </w:rPr>
        <w:lastRenderedPageBreak/>
        <w:t>MDGs,</w:t>
      </w:r>
      <w:r w:rsidRPr="00A15111">
        <w:t xml:space="preserve"> Sudbury uses the UN definition of sustainable development to inform its work as outlined in </w:t>
      </w:r>
      <w:r w:rsidRPr="00A15111">
        <w:rPr>
          <w:rFonts w:cstheme="minorHAnsi"/>
        </w:rPr>
        <w:t xml:space="preserve">the </w:t>
      </w:r>
      <w:r w:rsidRPr="00A15111">
        <w:rPr>
          <w:rFonts w:cstheme="minorHAnsi"/>
          <w:color w:val="222222"/>
          <w:shd w:val="clear" w:color="auto" w:fill="FFFFFF"/>
        </w:rPr>
        <w:t xml:space="preserve">1987 flagship publication, </w:t>
      </w:r>
      <w:r w:rsidRPr="00A15111">
        <w:rPr>
          <w:rFonts w:cstheme="minorHAnsi"/>
          <w:i/>
          <w:color w:val="222222"/>
          <w:shd w:val="clear" w:color="auto" w:fill="FFFFFF"/>
        </w:rPr>
        <w:t>Our Common Future</w:t>
      </w:r>
      <w:r w:rsidRPr="00A15111">
        <w:rPr>
          <w:rFonts w:cstheme="minorHAnsi"/>
          <w:color w:val="222222"/>
          <w:shd w:val="clear" w:color="auto" w:fill="FFFFFF"/>
        </w:rPr>
        <w:t>.</w:t>
      </w:r>
      <w:r w:rsidRPr="00A15111">
        <w:rPr>
          <w:rFonts w:cs="Arial"/>
          <w:color w:val="222222"/>
          <w:shd w:val="clear" w:color="auto" w:fill="FFFFFF"/>
        </w:rPr>
        <w:t xml:space="preserve">  </w:t>
      </w:r>
      <w:r w:rsidRPr="00A15111">
        <w:t xml:space="preserve">  </w:t>
      </w:r>
    </w:p>
    <w:p w14:paraId="09752875" w14:textId="781EA9E8" w:rsidR="00673AEC" w:rsidRPr="00A15111" w:rsidRDefault="00BE6D9E" w:rsidP="00716DFE">
      <w:pPr>
        <w:shd w:val="clear" w:color="auto" w:fill="008D7F"/>
        <w:spacing w:after="0"/>
        <w:rPr>
          <w:b/>
          <w:color w:val="FFFFFF" w:themeColor="background1"/>
        </w:rPr>
      </w:pPr>
      <w:r w:rsidRPr="00A15111">
        <w:rPr>
          <w:b/>
          <w:color w:val="FFFFFF" w:themeColor="background1"/>
        </w:rPr>
        <w:t>Box 1. FCM E</w:t>
      </w:r>
      <w:r w:rsidR="00C353FA" w:rsidRPr="00A15111">
        <w:rPr>
          <w:b/>
          <w:color w:val="FFFFFF" w:themeColor="background1"/>
        </w:rPr>
        <w:t>ngagement on the SDGs</w:t>
      </w:r>
    </w:p>
    <w:p w14:paraId="6E9DBF7B" w14:textId="77777777" w:rsidR="00C353FA" w:rsidRPr="00A15111" w:rsidRDefault="00C353FA" w:rsidP="00716DFE">
      <w:pPr>
        <w:shd w:val="clear" w:color="auto" w:fill="008D7F"/>
        <w:rPr>
          <w:color w:val="FFFFFF" w:themeColor="background1"/>
        </w:rPr>
      </w:pPr>
      <w:r w:rsidRPr="00A15111">
        <w:rPr>
          <w:color w:val="FFFFFF" w:themeColor="background1"/>
        </w:rPr>
        <w:t xml:space="preserve">FCM has been active on the SDG agenda. It has played a leadership role internationally in terms of advocating for local governments to be a part of global initiatives, including the SDGs, and is a part of a number of international municipal associations. FCM has held information sessions on the SDGs for its membership and has supported councillors to participate in international meetings at the United Nations on the SDGs. </w:t>
      </w:r>
    </w:p>
    <w:p w14:paraId="7027EAA8" w14:textId="4D711623" w:rsidR="00090F61" w:rsidRPr="00A15111" w:rsidRDefault="00090F61" w:rsidP="00090F61">
      <w:r w:rsidRPr="00A15111">
        <w:t>Though there is limited reference to the SDGs or MDGs, the review of strategic plans and areas of interest (in the case of municipal associations) showed clear linkages with the SDGs. Key themes showcased at municipal association meetings and conferences include disaster resilience, infrastructure, sustainable development of natural resources, information and communication technology, food security, energy and climate change</w:t>
      </w:r>
      <w:r w:rsidR="00F45C9F" w:rsidRPr="00A15111">
        <w:t>, all areas captured by the SDGs</w:t>
      </w:r>
      <w:r w:rsidRPr="00A15111">
        <w:t xml:space="preserve">.  </w:t>
      </w:r>
    </w:p>
    <w:p w14:paraId="4E885942" w14:textId="07537558" w:rsidR="00816267" w:rsidRPr="00A15111" w:rsidRDefault="00F45C9F" w:rsidP="00090F61">
      <w:r w:rsidRPr="00A15111">
        <w:t>S</w:t>
      </w:r>
      <w:r w:rsidR="0001033C" w:rsidRPr="00A15111">
        <w:t xml:space="preserve">ustainable development – broadly understood in environmental, social and economic terms – </w:t>
      </w:r>
      <w:r w:rsidRPr="00A15111">
        <w:t xml:space="preserve">is </w:t>
      </w:r>
      <w:r w:rsidR="000937F3" w:rsidRPr="00A15111">
        <w:t xml:space="preserve">highlighted by all </w:t>
      </w:r>
      <w:r w:rsidR="00912C82" w:rsidRPr="00A15111">
        <w:t xml:space="preserve">municipal strategic </w:t>
      </w:r>
      <w:r w:rsidR="000937F3" w:rsidRPr="00A15111">
        <w:t>plans</w:t>
      </w:r>
      <w:r w:rsidRPr="00A15111">
        <w:t xml:space="preserve">. </w:t>
      </w:r>
      <w:r w:rsidR="00D44615" w:rsidRPr="00A15111">
        <w:t>All plans</w:t>
      </w:r>
      <w:r w:rsidR="00816267" w:rsidRPr="00A15111">
        <w:t xml:space="preserve"> emphasized</w:t>
      </w:r>
      <w:r w:rsidR="00D44615" w:rsidRPr="00A15111">
        <w:t xml:space="preserve"> infrastructure related issues, such as sustainability, acces</w:t>
      </w:r>
      <w:r w:rsidR="00816267" w:rsidRPr="00A15111">
        <w:t>s and general mobility. W</w:t>
      </w:r>
      <w:r w:rsidR="00D44615" w:rsidRPr="00A15111">
        <w:t>ell-being in terms of individuals and communities</w:t>
      </w:r>
      <w:r w:rsidR="00816267" w:rsidRPr="00A15111">
        <w:t xml:space="preserve"> was also listed as a priority for all municipalities</w:t>
      </w:r>
      <w:r w:rsidR="00D44615" w:rsidRPr="00A15111">
        <w:t xml:space="preserve">, </w:t>
      </w:r>
      <w:r w:rsidR="00816267" w:rsidRPr="00A15111">
        <w:t xml:space="preserve">though </w:t>
      </w:r>
      <w:r w:rsidR="00D44615" w:rsidRPr="00A15111">
        <w:t>only seven explicitly mention inclusivity and diversity as high level priorities</w:t>
      </w:r>
      <w:r w:rsidR="00816267" w:rsidRPr="00A15111">
        <w:t xml:space="preserve"> in this context</w:t>
      </w:r>
      <w:r w:rsidR="00D44615" w:rsidRPr="00A15111">
        <w:t>.</w:t>
      </w:r>
      <w:r w:rsidR="00D44615" w:rsidRPr="00A15111">
        <w:rPr>
          <w:rStyle w:val="FootnoteReference"/>
        </w:rPr>
        <w:footnoteReference w:id="3"/>
      </w:r>
      <w:r w:rsidR="00D44615" w:rsidRPr="00A15111">
        <w:t xml:space="preserve">  Eight municipalities emphasized responsible government in terms of openness and/or community consultation and accountability.</w:t>
      </w:r>
      <w:r w:rsidR="00D44615" w:rsidRPr="00A15111">
        <w:rPr>
          <w:rStyle w:val="FootnoteReference"/>
        </w:rPr>
        <w:footnoteReference w:id="4"/>
      </w:r>
      <w:r w:rsidR="00BA19AA" w:rsidRPr="00A15111">
        <w:t xml:space="preserve"> Seven municipalities highlighted cultural heritage.</w:t>
      </w:r>
      <w:r w:rsidR="00BA19AA" w:rsidRPr="00A15111">
        <w:rPr>
          <w:rStyle w:val="FootnoteReference"/>
        </w:rPr>
        <w:footnoteReference w:id="5"/>
      </w:r>
      <w:r w:rsidR="00BA19AA" w:rsidRPr="00A15111">
        <w:t xml:space="preserve"> </w:t>
      </w:r>
      <w:r w:rsidR="00D44615" w:rsidRPr="00A15111">
        <w:t xml:space="preserve"> A limited number of municipalities also referred to food security (London) and energy conservation (Peterborough and Windsor) which align to the SDGs. </w:t>
      </w:r>
    </w:p>
    <w:p w14:paraId="44188B1A" w14:textId="77777777" w:rsidR="003E569A" w:rsidRDefault="00F45C9F" w:rsidP="00816267">
      <w:r w:rsidRPr="00A15111">
        <w:t>Table 4</w:t>
      </w:r>
      <w:r w:rsidR="00912C82" w:rsidRPr="00A15111">
        <w:t xml:space="preserve"> </w:t>
      </w:r>
      <w:r w:rsidRPr="00A15111">
        <w:t>provides an overview of key municipal priorities</w:t>
      </w:r>
      <w:r w:rsidR="000937F3" w:rsidRPr="00A15111">
        <w:t xml:space="preserve"> and the SDGs to which they are associated</w:t>
      </w:r>
      <w:r w:rsidRPr="00A15111">
        <w:t xml:space="preserve">. </w:t>
      </w:r>
      <w:r w:rsidR="00FA6854" w:rsidRPr="00A15111">
        <w:t>Across municipalities, priorities are most closely linked with 10 of the 17</w:t>
      </w:r>
      <w:r w:rsidR="00816267" w:rsidRPr="00A15111">
        <w:t xml:space="preserve"> SDGs. T</w:t>
      </w:r>
      <w:r w:rsidR="00FA6854" w:rsidRPr="00A15111">
        <w:t>he main SDGs that are not captured across municipalities pertain to poverty reduction, food security, education, water and sanitation, energy, life below water, and global partnership.</w:t>
      </w:r>
      <w:r w:rsidR="00816267" w:rsidRPr="00A15111">
        <w:t xml:space="preserve"> References to these issues do exist in some municipal plans, however these SDGs did not emerge as priorities across the municipal plans examined. </w:t>
      </w:r>
    </w:p>
    <w:p w14:paraId="3CF31B98" w14:textId="4B751480" w:rsidR="003E569A" w:rsidRDefault="00FA6854" w:rsidP="00816267">
      <w:r w:rsidRPr="00A15111">
        <w:t xml:space="preserve"> </w:t>
      </w:r>
      <w:r w:rsidR="00F45C9F" w:rsidRPr="00A15111">
        <w:t xml:space="preserve"> </w:t>
      </w:r>
      <w:r w:rsidR="00816267" w:rsidRPr="00A15111">
        <w:t xml:space="preserve"> </w:t>
      </w:r>
    </w:p>
    <w:p w14:paraId="19BB8F4C" w14:textId="51D134F3" w:rsidR="00816267" w:rsidRPr="00A15111" w:rsidRDefault="003E569A" w:rsidP="00816267">
      <w: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9"/>
      </w:tblGrid>
      <w:tr w:rsidR="00FA6854" w:rsidRPr="00A15111" w14:paraId="1F976A23" w14:textId="77777777" w:rsidTr="00716DFE">
        <w:trPr>
          <w:trHeight w:val="20"/>
        </w:trPr>
        <w:tc>
          <w:tcPr>
            <w:tcW w:w="9498" w:type="dxa"/>
            <w:gridSpan w:val="2"/>
            <w:shd w:val="clear" w:color="auto" w:fill="008D7F"/>
            <w:vAlign w:val="bottom"/>
          </w:tcPr>
          <w:p w14:paraId="3CB5A568" w14:textId="690D8F9F" w:rsidR="00FA6854" w:rsidRPr="00A15111" w:rsidRDefault="00BE6D9E" w:rsidP="00D44615">
            <w:pPr>
              <w:spacing w:after="0" w:line="240" w:lineRule="auto"/>
              <w:rPr>
                <w:rFonts w:eastAsia="Times New Roman" w:cs="Calibri"/>
                <w:b/>
                <w:color w:val="000000"/>
                <w:lang w:eastAsia="en-CA"/>
              </w:rPr>
            </w:pPr>
            <w:r w:rsidRPr="00A15111">
              <w:rPr>
                <w:rFonts w:eastAsia="Times New Roman" w:cs="Calibri"/>
                <w:b/>
                <w:color w:val="FFFFFF" w:themeColor="background1"/>
                <w:lang w:eastAsia="en-CA"/>
              </w:rPr>
              <w:lastRenderedPageBreak/>
              <w:t>Table 4. Main Municipal Priorities and C</w:t>
            </w:r>
            <w:r w:rsidR="00FA6854" w:rsidRPr="00A15111">
              <w:rPr>
                <w:rFonts w:eastAsia="Times New Roman" w:cs="Calibri"/>
                <w:b/>
                <w:color w:val="FFFFFF" w:themeColor="background1"/>
                <w:lang w:eastAsia="en-CA"/>
              </w:rPr>
              <w:t>orresponding SDGs</w:t>
            </w:r>
          </w:p>
        </w:tc>
      </w:tr>
      <w:tr w:rsidR="00FA6854" w:rsidRPr="00A15111" w14:paraId="71872074" w14:textId="77777777" w:rsidTr="00716DFE">
        <w:trPr>
          <w:trHeight w:val="20"/>
        </w:trPr>
        <w:tc>
          <w:tcPr>
            <w:tcW w:w="3539" w:type="dxa"/>
            <w:shd w:val="clear" w:color="auto" w:fill="008D7F"/>
            <w:vAlign w:val="bottom"/>
          </w:tcPr>
          <w:p w14:paraId="0ECF9503" w14:textId="18BBE15A" w:rsidR="00FA6854" w:rsidRPr="00A15111" w:rsidRDefault="00BE6D9E" w:rsidP="00D44615">
            <w:pPr>
              <w:spacing w:after="0" w:line="240" w:lineRule="auto"/>
              <w:rPr>
                <w:rFonts w:eastAsia="Times New Roman" w:cs="Calibri"/>
                <w:b/>
                <w:color w:val="FFFFFF" w:themeColor="background1"/>
                <w:lang w:eastAsia="en-CA"/>
              </w:rPr>
            </w:pPr>
            <w:r w:rsidRPr="00A15111">
              <w:rPr>
                <w:rFonts w:eastAsia="Times New Roman" w:cs="Calibri"/>
                <w:b/>
                <w:color w:val="FFFFFF" w:themeColor="background1"/>
                <w:lang w:eastAsia="en-CA"/>
              </w:rPr>
              <w:t>Municipal P</w:t>
            </w:r>
            <w:r w:rsidR="00FA6854" w:rsidRPr="00A15111">
              <w:rPr>
                <w:rFonts w:eastAsia="Times New Roman" w:cs="Calibri"/>
                <w:b/>
                <w:color w:val="FFFFFF" w:themeColor="background1"/>
                <w:lang w:eastAsia="en-CA"/>
              </w:rPr>
              <w:t>riority</w:t>
            </w:r>
          </w:p>
        </w:tc>
        <w:tc>
          <w:tcPr>
            <w:tcW w:w="5959" w:type="dxa"/>
            <w:shd w:val="clear" w:color="auto" w:fill="008D7F"/>
            <w:vAlign w:val="bottom"/>
          </w:tcPr>
          <w:p w14:paraId="4C9454D4" w14:textId="77777777" w:rsidR="00FA6854" w:rsidRPr="00A15111" w:rsidRDefault="00FA6854" w:rsidP="00D44615">
            <w:pPr>
              <w:spacing w:after="0" w:line="240" w:lineRule="auto"/>
              <w:rPr>
                <w:rFonts w:eastAsia="Times New Roman" w:cs="Calibri"/>
                <w:b/>
                <w:color w:val="FFFFFF" w:themeColor="background1"/>
                <w:lang w:eastAsia="en-CA"/>
              </w:rPr>
            </w:pPr>
            <w:r w:rsidRPr="00A15111">
              <w:rPr>
                <w:rFonts w:eastAsia="Times New Roman" w:cs="Calibri"/>
                <w:b/>
                <w:color w:val="FFFFFF" w:themeColor="background1"/>
                <w:lang w:eastAsia="en-CA"/>
              </w:rPr>
              <w:t>Associated SDG</w:t>
            </w:r>
          </w:p>
        </w:tc>
      </w:tr>
      <w:tr w:rsidR="00D44615" w:rsidRPr="00A15111" w14:paraId="3608BB22" w14:textId="77777777" w:rsidTr="00FA6854">
        <w:trPr>
          <w:trHeight w:val="20"/>
        </w:trPr>
        <w:tc>
          <w:tcPr>
            <w:tcW w:w="3539" w:type="dxa"/>
            <w:shd w:val="clear" w:color="auto" w:fill="auto"/>
            <w:vAlign w:val="bottom"/>
          </w:tcPr>
          <w:p w14:paraId="67F5015E" w14:textId="77777777" w:rsidR="00D44615" w:rsidRPr="00A15111" w:rsidRDefault="00BA19AA"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Sustainable economy </w:t>
            </w:r>
          </w:p>
        </w:tc>
        <w:tc>
          <w:tcPr>
            <w:tcW w:w="5959" w:type="dxa"/>
            <w:shd w:val="clear" w:color="auto" w:fill="auto"/>
            <w:vAlign w:val="bottom"/>
          </w:tcPr>
          <w:p w14:paraId="3D425D79" w14:textId="77777777" w:rsidR="00D44615" w:rsidRPr="00A15111" w:rsidRDefault="00BA19AA" w:rsidP="00FA6854">
            <w:pPr>
              <w:pStyle w:val="ListParagraph"/>
              <w:numPr>
                <w:ilvl w:val="0"/>
                <w:numId w:val="17"/>
              </w:numPr>
              <w:spacing w:after="0" w:line="240" w:lineRule="auto"/>
              <w:rPr>
                <w:rFonts w:eastAsia="Times New Roman" w:cs="Calibri"/>
                <w:color w:val="000000"/>
                <w:lang w:eastAsia="en-CA"/>
              </w:rPr>
            </w:pPr>
            <w:r w:rsidRPr="00A15111">
              <w:rPr>
                <w:rFonts w:eastAsia="Times New Roman" w:cs="Calibri"/>
                <w:color w:val="000000"/>
                <w:lang w:eastAsia="en-CA"/>
              </w:rPr>
              <w:t xml:space="preserve">Goal 8: Decent work and economic growth </w:t>
            </w:r>
          </w:p>
        </w:tc>
      </w:tr>
      <w:tr w:rsidR="00D44615" w:rsidRPr="00A15111" w14:paraId="49619622" w14:textId="77777777" w:rsidTr="00FA6854">
        <w:trPr>
          <w:trHeight w:val="20"/>
        </w:trPr>
        <w:tc>
          <w:tcPr>
            <w:tcW w:w="3539" w:type="dxa"/>
            <w:shd w:val="clear" w:color="auto" w:fill="auto"/>
            <w:vAlign w:val="bottom"/>
          </w:tcPr>
          <w:p w14:paraId="07FFC878" w14:textId="77777777" w:rsidR="00D44615" w:rsidRPr="00A15111" w:rsidRDefault="00D44615"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Green city </w:t>
            </w:r>
          </w:p>
        </w:tc>
        <w:tc>
          <w:tcPr>
            <w:tcW w:w="5959" w:type="dxa"/>
            <w:shd w:val="clear" w:color="auto" w:fill="auto"/>
            <w:vAlign w:val="bottom"/>
          </w:tcPr>
          <w:p w14:paraId="7ABA5126" w14:textId="77777777" w:rsidR="00FA6854" w:rsidRPr="00A15111" w:rsidRDefault="00BA19AA" w:rsidP="00FA6854">
            <w:pPr>
              <w:pStyle w:val="ListParagraph"/>
              <w:numPr>
                <w:ilvl w:val="0"/>
                <w:numId w:val="17"/>
              </w:numPr>
              <w:spacing w:after="0" w:line="240" w:lineRule="auto"/>
              <w:rPr>
                <w:rFonts w:eastAsia="Times New Roman" w:cs="Calibri"/>
                <w:color w:val="000000"/>
                <w:lang w:eastAsia="en-CA"/>
              </w:rPr>
            </w:pPr>
            <w:r w:rsidRPr="00A15111">
              <w:rPr>
                <w:rFonts w:eastAsia="Times New Roman" w:cs="Calibri"/>
                <w:color w:val="000000"/>
                <w:lang w:eastAsia="en-CA"/>
              </w:rPr>
              <w:t>Goal 11: Su</w:t>
            </w:r>
            <w:r w:rsidR="00FA6854" w:rsidRPr="00A15111">
              <w:rPr>
                <w:rFonts w:eastAsia="Times New Roman" w:cs="Calibri"/>
                <w:color w:val="000000"/>
                <w:lang w:eastAsia="en-CA"/>
              </w:rPr>
              <w:t>stainable cities and communities</w:t>
            </w:r>
          </w:p>
          <w:p w14:paraId="58C8096D" w14:textId="77777777" w:rsidR="00D44615" w:rsidRPr="00A15111" w:rsidRDefault="00BA19AA" w:rsidP="00FA6854">
            <w:pPr>
              <w:pStyle w:val="ListParagraph"/>
              <w:numPr>
                <w:ilvl w:val="0"/>
                <w:numId w:val="17"/>
              </w:numPr>
              <w:spacing w:after="0" w:line="240" w:lineRule="auto"/>
              <w:rPr>
                <w:rFonts w:eastAsia="Times New Roman" w:cs="Calibri"/>
                <w:color w:val="000000"/>
                <w:lang w:eastAsia="en-CA"/>
              </w:rPr>
            </w:pPr>
            <w:r w:rsidRPr="00A15111">
              <w:rPr>
                <w:rFonts w:eastAsia="Times New Roman" w:cs="Calibri"/>
                <w:color w:val="000000"/>
                <w:lang w:eastAsia="en-CA"/>
              </w:rPr>
              <w:t>Goal 12: Responsible co</w:t>
            </w:r>
            <w:r w:rsidR="00FA6854" w:rsidRPr="00A15111">
              <w:rPr>
                <w:rFonts w:eastAsia="Times New Roman" w:cs="Calibri"/>
                <w:color w:val="000000"/>
                <w:lang w:eastAsia="en-CA"/>
              </w:rPr>
              <w:t xml:space="preserve">nsumption and </w:t>
            </w:r>
            <w:r w:rsidRPr="00A15111">
              <w:rPr>
                <w:rFonts w:eastAsia="Times New Roman" w:cs="Calibri"/>
                <w:color w:val="000000"/>
                <w:lang w:eastAsia="en-CA"/>
              </w:rPr>
              <w:t xml:space="preserve">production </w:t>
            </w:r>
          </w:p>
          <w:p w14:paraId="0D1E86B9" w14:textId="77777777" w:rsidR="00BA19AA" w:rsidRPr="00A15111" w:rsidRDefault="00BA19AA" w:rsidP="00FA6854">
            <w:pPr>
              <w:pStyle w:val="ListParagraph"/>
              <w:numPr>
                <w:ilvl w:val="0"/>
                <w:numId w:val="17"/>
              </w:numPr>
              <w:spacing w:after="0" w:line="240" w:lineRule="auto"/>
              <w:rPr>
                <w:rFonts w:eastAsia="Times New Roman" w:cs="Calibri"/>
                <w:color w:val="000000"/>
                <w:lang w:eastAsia="en-CA"/>
              </w:rPr>
            </w:pPr>
            <w:r w:rsidRPr="00A15111">
              <w:rPr>
                <w:rFonts w:eastAsia="Times New Roman" w:cs="Calibri"/>
                <w:color w:val="000000"/>
                <w:lang w:eastAsia="en-CA"/>
              </w:rPr>
              <w:t>Goal 13: Climate action</w:t>
            </w:r>
          </w:p>
          <w:p w14:paraId="67231ECD" w14:textId="77777777" w:rsidR="00BA19AA" w:rsidRPr="00A15111" w:rsidRDefault="00BA19AA" w:rsidP="00FA6854">
            <w:pPr>
              <w:pStyle w:val="ListParagraph"/>
              <w:numPr>
                <w:ilvl w:val="0"/>
                <w:numId w:val="17"/>
              </w:numPr>
              <w:spacing w:after="0" w:line="240" w:lineRule="auto"/>
              <w:rPr>
                <w:rFonts w:eastAsia="Times New Roman" w:cs="Calibri"/>
                <w:color w:val="000000"/>
                <w:lang w:eastAsia="en-CA"/>
              </w:rPr>
            </w:pPr>
            <w:r w:rsidRPr="00A15111">
              <w:rPr>
                <w:rFonts w:eastAsia="Times New Roman" w:cs="Calibri"/>
                <w:color w:val="000000"/>
                <w:lang w:eastAsia="en-CA"/>
              </w:rPr>
              <w:t>Goal 15: Life on land (</w:t>
            </w:r>
            <w:r w:rsidR="00FA6854" w:rsidRPr="00A15111">
              <w:rPr>
                <w:rFonts w:eastAsia="Times New Roman" w:cs="Calibri"/>
                <w:color w:val="000000"/>
                <w:lang w:eastAsia="en-CA"/>
              </w:rPr>
              <w:t>environmental protection)</w:t>
            </w:r>
          </w:p>
        </w:tc>
      </w:tr>
      <w:tr w:rsidR="00D44615" w:rsidRPr="00A15111" w14:paraId="405E8CDF" w14:textId="77777777" w:rsidTr="00FA6854">
        <w:trPr>
          <w:trHeight w:val="20"/>
        </w:trPr>
        <w:tc>
          <w:tcPr>
            <w:tcW w:w="3539" w:type="dxa"/>
            <w:shd w:val="clear" w:color="auto" w:fill="auto"/>
            <w:vAlign w:val="bottom"/>
          </w:tcPr>
          <w:p w14:paraId="3FC97343" w14:textId="77777777" w:rsidR="00D44615" w:rsidRPr="00A15111" w:rsidRDefault="00D44615"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Well-being </w:t>
            </w:r>
          </w:p>
        </w:tc>
        <w:tc>
          <w:tcPr>
            <w:tcW w:w="5959" w:type="dxa"/>
            <w:shd w:val="clear" w:color="auto" w:fill="auto"/>
            <w:vAlign w:val="bottom"/>
          </w:tcPr>
          <w:p w14:paraId="2E57B42C" w14:textId="77777777" w:rsidR="00D44615" w:rsidRPr="00A15111" w:rsidRDefault="00BA19AA" w:rsidP="00FA6854">
            <w:pPr>
              <w:pStyle w:val="ListParagraph"/>
              <w:numPr>
                <w:ilvl w:val="0"/>
                <w:numId w:val="18"/>
              </w:numPr>
              <w:spacing w:after="0" w:line="240" w:lineRule="auto"/>
              <w:rPr>
                <w:rFonts w:eastAsia="Times New Roman" w:cs="Calibri"/>
                <w:color w:val="000000"/>
                <w:lang w:eastAsia="en-CA"/>
              </w:rPr>
            </w:pPr>
            <w:r w:rsidRPr="00A15111">
              <w:rPr>
                <w:rFonts w:eastAsia="Times New Roman" w:cs="Calibri"/>
                <w:color w:val="000000"/>
                <w:lang w:eastAsia="en-CA"/>
              </w:rPr>
              <w:t>Goal 3: Good health and well-being</w:t>
            </w:r>
          </w:p>
          <w:p w14:paraId="75A7C5DC" w14:textId="77777777" w:rsidR="00BA19AA" w:rsidRPr="00A15111" w:rsidRDefault="00BA19AA" w:rsidP="00FA6854">
            <w:pPr>
              <w:pStyle w:val="ListParagraph"/>
              <w:numPr>
                <w:ilvl w:val="0"/>
                <w:numId w:val="18"/>
              </w:numPr>
              <w:spacing w:after="0" w:line="240" w:lineRule="auto"/>
              <w:rPr>
                <w:rFonts w:eastAsia="Times New Roman" w:cs="Calibri"/>
                <w:color w:val="000000"/>
                <w:lang w:eastAsia="en-CA"/>
              </w:rPr>
            </w:pPr>
            <w:r w:rsidRPr="00A15111">
              <w:rPr>
                <w:rFonts w:eastAsia="Times New Roman" w:cs="Calibri"/>
                <w:color w:val="000000"/>
                <w:lang w:eastAsia="en-CA"/>
              </w:rPr>
              <w:t>Goal 11: Sustainable cities and communities</w:t>
            </w:r>
          </w:p>
        </w:tc>
      </w:tr>
      <w:tr w:rsidR="00D44615" w:rsidRPr="00A15111" w14:paraId="3964827A" w14:textId="77777777" w:rsidTr="00FA6854">
        <w:trPr>
          <w:trHeight w:val="20"/>
        </w:trPr>
        <w:tc>
          <w:tcPr>
            <w:tcW w:w="3539" w:type="dxa"/>
            <w:shd w:val="clear" w:color="auto" w:fill="auto"/>
            <w:vAlign w:val="bottom"/>
          </w:tcPr>
          <w:p w14:paraId="064F1BE9" w14:textId="77777777" w:rsidR="00D44615" w:rsidRPr="00A15111" w:rsidRDefault="00D44615"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Infrastructure </w:t>
            </w:r>
          </w:p>
        </w:tc>
        <w:tc>
          <w:tcPr>
            <w:tcW w:w="5959" w:type="dxa"/>
            <w:shd w:val="clear" w:color="auto" w:fill="auto"/>
            <w:vAlign w:val="bottom"/>
          </w:tcPr>
          <w:p w14:paraId="23EE6568" w14:textId="77777777" w:rsidR="00D44615" w:rsidRPr="00A15111" w:rsidRDefault="00BA19AA" w:rsidP="00FA6854">
            <w:pPr>
              <w:pStyle w:val="ListParagraph"/>
              <w:numPr>
                <w:ilvl w:val="0"/>
                <w:numId w:val="18"/>
              </w:numPr>
              <w:spacing w:after="0" w:line="240" w:lineRule="auto"/>
              <w:rPr>
                <w:rFonts w:eastAsia="Times New Roman" w:cs="Calibri"/>
                <w:color w:val="000000"/>
                <w:lang w:eastAsia="en-CA"/>
              </w:rPr>
            </w:pPr>
            <w:r w:rsidRPr="00A15111">
              <w:rPr>
                <w:rFonts w:eastAsia="Times New Roman" w:cs="Calibri"/>
                <w:color w:val="000000"/>
                <w:lang w:eastAsia="en-CA"/>
              </w:rPr>
              <w:t xml:space="preserve">Goal 9: Industry, innovation and infrastructure </w:t>
            </w:r>
          </w:p>
          <w:p w14:paraId="0BB4FD42" w14:textId="77777777" w:rsidR="00BA19AA" w:rsidRPr="00A15111" w:rsidRDefault="00BA19AA" w:rsidP="00FA6854">
            <w:pPr>
              <w:pStyle w:val="ListParagraph"/>
              <w:numPr>
                <w:ilvl w:val="0"/>
                <w:numId w:val="18"/>
              </w:numPr>
              <w:spacing w:after="0" w:line="240" w:lineRule="auto"/>
              <w:rPr>
                <w:rFonts w:eastAsia="Times New Roman" w:cs="Calibri"/>
                <w:color w:val="000000"/>
                <w:lang w:eastAsia="en-CA"/>
              </w:rPr>
            </w:pPr>
            <w:r w:rsidRPr="00A15111">
              <w:rPr>
                <w:rFonts w:eastAsia="Times New Roman" w:cs="Calibri"/>
                <w:color w:val="000000"/>
                <w:lang w:eastAsia="en-CA"/>
              </w:rPr>
              <w:t>Goal 11: Sustainable cities and communities</w:t>
            </w:r>
          </w:p>
        </w:tc>
      </w:tr>
      <w:tr w:rsidR="00FA6854" w:rsidRPr="00A15111" w14:paraId="335D1EDF" w14:textId="77777777" w:rsidTr="00FA6854">
        <w:trPr>
          <w:trHeight w:val="20"/>
        </w:trPr>
        <w:tc>
          <w:tcPr>
            <w:tcW w:w="3539" w:type="dxa"/>
            <w:shd w:val="clear" w:color="auto" w:fill="auto"/>
            <w:vAlign w:val="bottom"/>
          </w:tcPr>
          <w:p w14:paraId="5FEE5052" w14:textId="77777777" w:rsidR="00D14DFE" w:rsidRPr="00A15111" w:rsidRDefault="00D14DFE"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Promotion of inclusivity </w:t>
            </w:r>
            <w:r w:rsidR="00BA19AA" w:rsidRPr="00A15111">
              <w:rPr>
                <w:rFonts w:eastAsia="Times New Roman" w:cs="Calibri"/>
                <w:color w:val="000000"/>
                <w:lang w:eastAsia="en-CA"/>
              </w:rPr>
              <w:t>and</w:t>
            </w:r>
            <w:r w:rsidR="000937F3" w:rsidRPr="00A15111">
              <w:rPr>
                <w:rFonts w:eastAsia="Times New Roman" w:cs="Calibri"/>
                <w:color w:val="000000"/>
                <w:lang w:eastAsia="en-CA"/>
              </w:rPr>
              <w:t xml:space="preserve"> diversity </w:t>
            </w:r>
          </w:p>
        </w:tc>
        <w:tc>
          <w:tcPr>
            <w:tcW w:w="5959" w:type="dxa"/>
            <w:shd w:val="clear" w:color="auto" w:fill="auto"/>
            <w:vAlign w:val="bottom"/>
          </w:tcPr>
          <w:p w14:paraId="548C3700" w14:textId="77777777" w:rsidR="000937F3" w:rsidRPr="00A15111" w:rsidRDefault="00BA19AA" w:rsidP="00FA6854">
            <w:pPr>
              <w:pStyle w:val="ListParagraph"/>
              <w:numPr>
                <w:ilvl w:val="0"/>
                <w:numId w:val="19"/>
              </w:numPr>
              <w:spacing w:after="0" w:line="240" w:lineRule="auto"/>
              <w:rPr>
                <w:rFonts w:eastAsia="Times New Roman" w:cs="Calibri"/>
                <w:color w:val="000000"/>
                <w:lang w:eastAsia="en-CA"/>
              </w:rPr>
            </w:pPr>
            <w:r w:rsidRPr="00A15111">
              <w:rPr>
                <w:rFonts w:eastAsia="Times New Roman" w:cs="Calibri"/>
                <w:color w:val="000000"/>
                <w:lang w:eastAsia="en-CA"/>
              </w:rPr>
              <w:t>Goal 5: Gender equality</w:t>
            </w:r>
          </w:p>
          <w:p w14:paraId="2226D358" w14:textId="77777777" w:rsidR="00BA19AA" w:rsidRPr="00A15111" w:rsidRDefault="00BA19AA" w:rsidP="00FA6854">
            <w:pPr>
              <w:pStyle w:val="ListParagraph"/>
              <w:numPr>
                <w:ilvl w:val="0"/>
                <w:numId w:val="19"/>
              </w:numPr>
              <w:spacing w:after="0" w:line="240" w:lineRule="auto"/>
              <w:rPr>
                <w:rFonts w:eastAsia="Times New Roman" w:cs="Calibri"/>
                <w:color w:val="000000"/>
                <w:lang w:eastAsia="en-CA"/>
              </w:rPr>
            </w:pPr>
            <w:r w:rsidRPr="00A15111">
              <w:rPr>
                <w:rFonts w:eastAsia="Times New Roman" w:cs="Calibri"/>
                <w:color w:val="000000"/>
                <w:lang w:eastAsia="en-CA"/>
              </w:rPr>
              <w:t xml:space="preserve">Goal 10: Reduced inequalities </w:t>
            </w:r>
          </w:p>
          <w:p w14:paraId="4686905D" w14:textId="77777777" w:rsidR="00BA19AA" w:rsidRPr="00A15111" w:rsidRDefault="00BA19AA" w:rsidP="00FA6854">
            <w:pPr>
              <w:pStyle w:val="ListParagraph"/>
              <w:numPr>
                <w:ilvl w:val="0"/>
                <w:numId w:val="19"/>
              </w:numPr>
              <w:spacing w:after="0" w:line="240" w:lineRule="auto"/>
              <w:rPr>
                <w:rFonts w:eastAsia="Times New Roman" w:cs="Calibri"/>
                <w:color w:val="000000"/>
                <w:lang w:eastAsia="en-CA"/>
              </w:rPr>
            </w:pPr>
            <w:r w:rsidRPr="00A15111">
              <w:rPr>
                <w:rFonts w:eastAsia="Times New Roman" w:cs="Calibri"/>
                <w:color w:val="000000"/>
                <w:lang w:eastAsia="en-CA"/>
              </w:rPr>
              <w:t>Goal 11: Sustainable cities and communities</w:t>
            </w:r>
          </w:p>
        </w:tc>
      </w:tr>
      <w:tr w:rsidR="00BA19AA" w:rsidRPr="00A15111" w14:paraId="18C1A9EC" w14:textId="77777777" w:rsidTr="00FA6854">
        <w:trPr>
          <w:trHeight w:val="20"/>
        </w:trPr>
        <w:tc>
          <w:tcPr>
            <w:tcW w:w="3539" w:type="dxa"/>
            <w:shd w:val="clear" w:color="auto" w:fill="auto"/>
            <w:vAlign w:val="bottom"/>
          </w:tcPr>
          <w:p w14:paraId="167617BF" w14:textId="77777777" w:rsidR="00BA19AA" w:rsidRPr="00A15111" w:rsidRDefault="00BA19AA" w:rsidP="00BA19AA">
            <w:pPr>
              <w:spacing w:after="0" w:line="240" w:lineRule="auto"/>
              <w:rPr>
                <w:rFonts w:eastAsia="Times New Roman" w:cs="Calibri"/>
                <w:color w:val="000000"/>
                <w:lang w:eastAsia="en-CA"/>
              </w:rPr>
            </w:pPr>
            <w:r w:rsidRPr="00A15111">
              <w:rPr>
                <w:rFonts w:eastAsia="Times New Roman" w:cs="Calibri"/>
                <w:color w:val="000000"/>
                <w:lang w:eastAsia="en-CA"/>
              </w:rPr>
              <w:t xml:space="preserve">Cultural heritage </w:t>
            </w:r>
          </w:p>
        </w:tc>
        <w:tc>
          <w:tcPr>
            <w:tcW w:w="5959" w:type="dxa"/>
            <w:shd w:val="clear" w:color="auto" w:fill="auto"/>
            <w:vAlign w:val="bottom"/>
          </w:tcPr>
          <w:p w14:paraId="4B79BFD8" w14:textId="77777777" w:rsidR="00BA19AA" w:rsidRPr="00A15111" w:rsidRDefault="00BA19AA" w:rsidP="00FA6854">
            <w:pPr>
              <w:pStyle w:val="ListParagraph"/>
              <w:numPr>
                <w:ilvl w:val="0"/>
                <w:numId w:val="20"/>
              </w:numPr>
              <w:spacing w:after="0" w:line="240" w:lineRule="auto"/>
              <w:rPr>
                <w:rFonts w:eastAsia="Times New Roman" w:cs="Calibri"/>
                <w:color w:val="000000"/>
                <w:lang w:eastAsia="en-CA"/>
              </w:rPr>
            </w:pPr>
            <w:r w:rsidRPr="00A15111">
              <w:rPr>
                <w:rFonts w:eastAsia="Times New Roman" w:cs="Calibri"/>
                <w:color w:val="000000"/>
                <w:lang w:eastAsia="en-CA"/>
              </w:rPr>
              <w:t>Goal 11: Sustainable cities and communities</w:t>
            </w:r>
          </w:p>
        </w:tc>
      </w:tr>
      <w:tr w:rsidR="00D44615" w:rsidRPr="00A15111" w14:paraId="41C4F026" w14:textId="77777777" w:rsidTr="00FA6854">
        <w:trPr>
          <w:trHeight w:val="20"/>
        </w:trPr>
        <w:tc>
          <w:tcPr>
            <w:tcW w:w="3539" w:type="dxa"/>
            <w:shd w:val="clear" w:color="auto" w:fill="auto"/>
            <w:vAlign w:val="bottom"/>
          </w:tcPr>
          <w:p w14:paraId="58A07E27" w14:textId="77777777" w:rsidR="00D44615" w:rsidRPr="00A15111" w:rsidRDefault="00BA19AA" w:rsidP="00FA6854">
            <w:pPr>
              <w:spacing w:after="0" w:line="240" w:lineRule="auto"/>
              <w:rPr>
                <w:rFonts w:eastAsia="Times New Roman" w:cs="Calibri"/>
                <w:color w:val="000000"/>
                <w:lang w:eastAsia="en-CA"/>
              </w:rPr>
            </w:pPr>
            <w:r w:rsidRPr="00A15111">
              <w:rPr>
                <w:rFonts w:eastAsia="Times New Roman" w:cs="Calibri"/>
                <w:color w:val="000000"/>
                <w:lang w:eastAsia="en-CA"/>
              </w:rPr>
              <w:t xml:space="preserve">Responsible government </w:t>
            </w:r>
          </w:p>
        </w:tc>
        <w:tc>
          <w:tcPr>
            <w:tcW w:w="5959" w:type="dxa"/>
            <w:shd w:val="clear" w:color="auto" w:fill="auto"/>
            <w:vAlign w:val="bottom"/>
          </w:tcPr>
          <w:p w14:paraId="20147995" w14:textId="77777777" w:rsidR="00FA6854" w:rsidRPr="00A15111" w:rsidRDefault="00BA19AA" w:rsidP="00FA6854">
            <w:pPr>
              <w:pStyle w:val="ListParagraph"/>
              <w:numPr>
                <w:ilvl w:val="0"/>
                <w:numId w:val="20"/>
              </w:numPr>
              <w:spacing w:after="0" w:line="240" w:lineRule="auto"/>
              <w:rPr>
                <w:rFonts w:eastAsia="Times New Roman" w:cs="Calibri"/>
                <w:color w:val="000000"/>
                <w:lang w:eastAsia="en-CA"/>
              </w:rPr>
            </w:pPr>
            <w:r w:rsidRPr="00A15111">
              <w:rPr>
                <w:rFonts w:eastAsia="Times New Roman" w:cs="Calibri"/>
                <w:color w:val="000000"/>
                <w:lang w:eastAsia="en-CA"/>
              </w:rPr>
              <w:t>Goal 11: Sustainable cities and communities</w:t>
            </w:r>
          </w:p>
          <w:p w14:paraId="4C8913AF" w14:textId="77777777" w:rsidR="00FA6854" w:rsidRPr="00A15111" w:rsidRDefault="00FA6854" w:rsidP="00FA6854">
            <w:pPr>
              <w:pStyle w:val="ListParagraph"/>
              <w:numPr>
                <w:ilvl w:val="0"/>
                <w:numId w:val="20"/>
              </w:numPr>
              <w:spacing w:after="0" w:line="240" w:lineRule="auto"/>
              <w:rPr>
                <w:rFonts w:eastAsia="Times New Roman" w:cs="Calibri"/>
                <w:color w:val="000000"/>
                <w:lang w:eastAsia="en-CA"/>
              </w:rPr>
            </w:pPr>
            <w:r w:rsidRPr="00A15111">
              <w:rPr>
                <w:rFonts w:eastAsia="Times New Roman" w:cs="Calibri"/>
                <w:color w:val="000000"/>
                <w:lang w:eastAsia="en-CA"/>
              </w:rPr>
              <w:t>Goal 16: Peace, justice and strong institutions</w:t>
            </w:r>
          </w:p>
        </w:tc>
      </w:tr>
    </w:tbl>
    <w:p w14:paraId="3B3DB7E6" w14:textId="77777777" w:rsidR="0001033C" w:rsidRPr="00A15111" w:rsidRDefault="00F45C9F" w:rsidP="00FA6854">
      <w:pPr>
        <w:spacing w:after="0"/>
      </w:pPr>
      <w:r w:rsidRPr="00A15111">
        <w:t xml:space="preserve"> </w:t>
      </w:r>
    </w:p>
    <w:p w14:paraId="6A8357EA" w14:textId="6051EB26" w:rsidR="00122BE4" w:rsidRPr="00201551" w:rsidRDefault="00BE6D9E" w:rsidP="00201551">
      <w:pPr>
        <w:pStyle w:val="Heading3"/>
        <w:rPr>
          <w:color w:val="auto"/>
        </w:rPr>
      </w:pPr>
      <w:bookmarkStart w:id="29" w:name="_Toc462982533"/>
      <w:bookmarkStart w:id="30" w:name="_Toc462988907"/>
      <w:bookmarkStart w:id="31" w:name="_Toc463342154"/>
      <w:bookmarkStart w:id="32" w:name="_Toc467163285"/>
      <w:r w:rsidRPr="00201551">
        <w:rPr>
          <w:color w:val="auto"/>
        </w:rPr>
        <w:t>International Cooperation A</w:t>
      </w:r>
      <w:r w:rsidR="00912C82" w:rsidRPr="00201551">
        <w:rPr>
          <w:color w:val="auto"/>
        </w:rPr>
        <w:t>ctivities</w:t>
      </w:r>
      <w:bookmarkEnd w:id="29"/>
      <w:bookmarkEnd w:id="30"/>
      <w:bookmarkEnd w:id="31"/>
      <w:bookmarkEnd w:id="32"/>
    </w:p>
    <w:p w14:paraId="109B2C72" w14:textId="21A80646" w:rsidR="00816267" w:rsidRPr="00A15111" w:rsidRDefault="00912C82" w:rsidP="00912C82">
      <w:pPr>
        <w:spacing w:after="0"/>
      </w:pPr>
      <w:r w:rsidRPr="00A15111">
        <w:t>There are three main types of international cooperation activities highlighted on municipality websites: ad hoc celebration of internationally recognized priority themes and days by the UN (e.g. World Malaria Day) and International Development Week; dedicated services and support to immigrants, notably Syrian refugees; and “twinning initiatives” with sister cities. Six municipalities demonstrated evidence of celebrating major UN initiatives and/or International Development Week in the past.</w:t>
      </w:r>
      <w:r w:rsidRPr="00A15111">
        <w:rPr>
          <w:rStyle w:val="FootnoteReference"/>
        </w:rPr>
        <w:footnoteReference w:id="6"/>
      </w:r>
      <w:r w:rsidRPr="00A15111">
        <w:t xml:space="preserve">  Seven cities have specific immigration portals or services or have made special reference to their role in settling Syrian refugees.</w:t>
      </w:r>
      <w:r w:rsidRPr="00A15111">
        <w:rPr>
          <w:rStyle w:val="FootnoteReference"/>
        </w:rPr>
        <w:footnoteReference w:id="7"/>
      </w:r>
      <w:r w:rsidRPr="00A15111">
        <w:t xml:space="preserve"> Thunder Bay, Toronto and Windsor highlight their twinning initiatives with sister cities. These initiatives </w:t>
      </w:r>
      <w:r w:rsidRPr="00A15111">
        <w:rPr>
          <w:rFonts w:eastAsia="Times New Roman" w:cs="Calibri"/>
          <w:color w:val="000000"/>
          <w:lang w:eastAsia="en-CA"/>
        </w:rPr>
        <w:t xml:space="preserve">aim to build economic links, promote cultural development, and cross-cultural community development including through municipal and technical cooperation. Sister cities tend to include a range </w:t>
      </w:r>
      <w:r w:rsidR="00BE6D9E" w:rsidRPr="00A15111">
        <w:rPr>
          <w:rFonts w:eastAsia="Times New Roman" w:cs="Calibri"/>
          <w:color w:val="000000"/>
          <w:lang w:eastAsia="en-CA"/>
        </w:rPr>
        <w:t xml:space="preserve">of </w:t>
      </w:r>
      <w:r w:rsidRPr="00A15111">
        <w:rPr>
          <w:rFonts w:eastAsia="Times New Roman" w:cs="Calibri"/>
          <w:color w:val="000000"/>
          <w:lang w:eastAsia="en-CA"/>
        </w:rPr>
        <w:t>cities in high, middle and low-income countries. Of the sample of municipalities examined, Sudbury and Windsor stand out as outliers from their peers in terms of their more significant engagement in international cooperation (Box 2).</w:t>
      </w:r>
      <w:r w:rsidRPr="00A15111">
        <w:rPr>
          <w:rStyle w:val="FootnoteReference"/>
          <w:rFonts w:eastAsia="Times New Roman" w:cs="Calibri"/>
          <w:color w:val="000000"/>
          <w:lang w:eastAsia="en-CA"/>
        </w:rPr>
        <w:footnoteReference w:id="8"/>
      </w:r>
      <w:r w:rsidRPr="00A15111">
        <w:rPr>
          <w:rFonts w:eastAsia="Times New Roman" w:cs="Calibri"/>
          <w:color w:val="000000"/>
          <w:lang w:eastAsia="en-CA"/>
        </w:rPr>
        <w:t xml:space="preserve"> F</w:t>
      </w:r>
      <w:r w:rsidRPr="00A15111">
        <w:t>our municipalities make no reference to international cooperation activities.</w:t>
      </w:r>
      <w:r w:rsidRPr="00A15111">
        <w:rPr>
          <w:rStyle w:val="FootnoteReference"/>
        </w:rPr>
        <w:footnoteReference w:id="9"/>
      </w:r>
    </w:p>
    <w:p w14:paraId="5AC30B21" w14:textId="77777777" w:rsidR="00816267" w:rsidRPr="00A15111" w:rsidRDefault="00816267" w:rsidP="00FA6854">
      <w:pPr>
        <w:spacing w:after="0"/>
      </w:pPr>
    </w:p>
    <w:p w14:paraId="791223AE" w14:textId="14748CE3" w:rsidR="00F45C9F" w:rsidRPr="00A15111" w:rsidRDefault="00D31239" w:rsidP="00716DFE">
      <w:pPr>
        <w:pBdr>
          <w:top w:val="single" w:sz="4" w:space="1" w:color="auto"/>
          <w:left w:val="single" w:sz="4" w:space="4" w:color="auto"/>
          <w:bottom w:val="single" w:sz="4" w:space="1" w:color="auto"/>
          <w:right w:val="single" w:sz="4" w:space="4" w:color="auto"/>
        </w:pBdr>
        <w:shd w:val="clear" w:color="auto" w:fill="008D7F"/>
        <w:spacing w:after="0"/>
        <w:rPr>
          <w:b/>
          <w:color w:val="FFFFFF" w:themeColor="background1"/>
        </w:rPr>
      </w:pPr>
      <w:r w:rsidRPr="00A15111">
        <w:rPr>
          <w:b/>
          <w:color w:val="FFFFFF" w:themeColor="background1"/>
        </w:rPr>
        <w:t>Box 2. Sudb</w:t>
      </w:r>
      <w:r w:rsidR="00BE6D9E" w:rsidRPr="00A15111">
        <w:rPr>
          <w:b/>
          <w:color w:val="FFFFFF" w:themeColor="background1"/>
        </w:rPr>
        <w:t>ury and Windsor: International Cooperation A</w:t>
      </w:r>
      <w:r w:rsidRPr="00A15111">
        <w:rPr>
          <w:b/>
          <w:color w:val="FFFFFF" w:themeColor="background1"/>
        </w:rPr>
        <w:t>ctivities</w:t>
      </w:r>
    </w:p>
    <w:p w14:paraId="47EFD2F4" w14:textId="77777777" w:rsidR="006F2B02" w:rsidRPr="00A15111" w:rsidRDefault="006F2B02" w:rsidP="00716DFE">
      <w:pPr>
        <w:pBdr>
          <w:top w:val="single" w:sz="4" w:space="1" w:color="auto"/>
          <w:left w:val="single" w:sz="4" w:space="4" w:color="auto"/>
          <w:bottom w:val="single" w:sz="4" w:space="1" w:color="auto"/>
          <w:right w:val="single" w:sz="4" w:space="4" w:color="auto"/>
        </w:pBdr>
        <w:shd w:val="clear" w:color="auto" w:fill="008D7F"/>
        <w:rPr>
          <w:color w:val="FFFFFF" w:themeColor="background1"/>
        </w:rPr>
      </w:pPr>
      <w:r w:rsidRPr="00A15111">
        <w:rPr>
          <w:color w:val="FFFFFF" w:themeColor="background1"/>
        </w:rPr>
        <w:t xml:space="preserve">In 2007, Sudbury was named a Regional Centre of Expertise in Sustainable Development by the Institute of Advanced Studies, an arm of the United Nations University. The city consistently celebrates UN initiatives such as World Car Free Day, the 2013 Year of Water Cooperation, International Year of Family Farming (2014), and the Decade of Water for Life (2005-2015). The city also participates in international events, such as the International Biodiversity Summit in 2014. </w:t>
      </w:r>
    </w:p>
    <w:p w14:paraId="567CC783" w14:textId="77777777" w:rsidR="00D31239" w:rsidRPr="00A15111" w:rsidRDefault="009307E2" w:rsidP="00716DFE">
      <w:pPr>
        <w:pBdr>
          <w:top w:val="single" w:sz="4" w:space="1" w:color="auto"/>
          <w:left w:val="single" w:sz="4" w:space="4" w:color="auto"/>
          <w:bottom w:val="single" w:sz="4" w:space="1" w:color="auto"/>
          <w:right w:val="single" w:sz="4" w:space="4" w:color="auto"/>
        </w:pBdr>
        <w:shd w:val="clear" w:color="auto" w:fill="008D7F"/>
        <w:rPr>
          <w:color w:val="FFFFFF" w:themeColor="background1"/>
        </w:rPr>
      </w:pPr>
      <w:r w:rsidRPr="00A15111">
        <w:rPr>
          <w:rFonts w:eastAsia="Times New Roman" w:cs="Calibri"/>
          <w:color w:val="FFFFFF" w:themeColor="background1"/>
          <w:lang w:eastAsia="en-CA"/>
        </w:rPr>
        <w:lastRenderedPageBreak/>
        <w:t xml:space="preserve">Windsor also has a history of celebrating major UN initiative, including </w:t>
      </w:r>
      <w:r w:rsidR="00D31239" w:rsidRPr="00A15111">
        <w:rPr>
          <w:rFonts w:eastAsia="Times New Roman" w:cs="Calibri"/>
          <w:color w:val="FFFFFF" w:themeColor="background1"/>
          <w:lang w:eastAsia="en-CA"/>
        </w:rPr>
        <w:t>World Refugee Day</w:t>
      </w:r>
      <w:r w:rsidRPr="00A15111">
        <w:rPr>
          <w:rFonts w:eastAsia="Times New Roman" w:cs="Calibri"/>
          <w:color w:val="FFFFFF" w:themeColor="background1"/>
          <w:lang w:eastAsia="en-CA"/>
        </w:rPr>
        <w:t>,</w:t>
      </w:r>
      <w:r w:rsidR="00D31239" w:rsidRPr="00A15111">
        <w:rPr>
          <w:rFonts w:eastAsia="Times New Roman" w:cs="Calibri"/>
          <w:color w:val="FFFFFF" w:themeColor="background1"/>
          <w:lang w:eastAsia="en-CA"/>
        </w:rPr>
        <w:t xml:space="preserve"> International Women's Day, </w:t>
      </w:r>
      <w:r w:rsidRPr="00A15111">
        <w:rPr>
          <w:rFonts w:eastAsia="Times New Roman" w:cs="Calibri"/>
          <w:color w:val="FFFFFF" w:themeColor="background1"/>
          <w:lang w:eastAsia="en-CA"/>
        </w:rPr>
        <w:t xml:space="preserve">and the </w:t>
      </w:r>
      <w:r w:rsidR="00D31239" w:rsidRPr="00A15111">
        <w:rPr>
          <w:rFonts w:eastAsia="Times New Roman" w:cs="Calibri"/>
          <w:color w:val="FFFFFF" w:themeColor="background1"/>
          <w:lang w:eastAsia="en-CA"/>
        </w:rPr>
        <w:t>Day of Older Persons</w:t>
      </w:r>
      <w:r w:rsidRPr="00A15111">
        <w:rPr>
          <w:rFonts w:eastAsia="Times New Roman" w:cs="Calibri"/>
          <w:color w:val="FFFFFF" w:themeColor="background1"/>
          <w:lang w:eastAsia="en-CA"/>
        </w:rPr>
        <w:t>.</w:t>
      </w:r>
      <w:r w:rsidR="00D31239" w:rsidRPr="00A15111">
        <w:rPr>
          <w:rFonts w:eastAsia="Times New Roman" w:cs="Calibri"/>
          <w:color w:val="FFFFFF" w:themeColor="background1"/>
          <w:lang w:eastAsia="en-CA"/>
        </w:rPr>
        <w:t xml:space="preserve"> A number of </w:t>
      </w:r>
      <w:r w:rsidRPr="00A15111">
        <w:rPr>
          <w:rFonts w:eastAsia="Times New Roman" w:cs="Calibri"/>
          <w:color w:val="FFFFFF" w:themeColor="background1"/>
          <w:lang w:eastAsia="en-CA"/>
        </w:rPr>
        <w:t xml:space="preserve">city </w:t>
      </w:r>
      <w:r w:rsidR="00D31239" w:rsidRPr="00A15111">
        <w:rPr>
          <w:rFonts w:eastAsia="Times New Roman" w:cs="Calibri"/>
          <w:color w:val="FFFFFF" w:themeColor="background1"/>
          <w:lang w:eastAsia="en-CA"/>
        </w:rPr>
        <w:t>plans and initiatives</w:t>
      </w:r>
      <w:r w:rsidRPr="00A15111">
        <w:rPr>
          <w:rFonts w:eastAsia="Times New Roman" w:cs="Calibri"/>
          <w:color w:val="FFFFFF" w:themeColor="background1"/>
          <w:lang w:eastAsia="en-CA"/>
        </w:rPr>
        <w:t xml:space="preserve"> are make references to the UN. The city also participates in International Development W</w:t>
      </w:r>
      <w:r w:rsidR="00D31239" w:rsidRPr="00A15111">
        <w:rPr>
          <w:rFonts w:eastAsia="Times New Roman" w:cs="Calibri"/>
          <w:color w:val="FFFFFF" w:themeColor="background1"/>
          <w:lang w:eastAsia="en-CA"/>
        </w:rPr>
        <w:t>eek.</w:t>
      </w:r>
      <w:r w:rsidRPr="00A15111">
        <w:rPr>
          <w:rFonts w:eastAsia="Times New Roman" w:cs="Calibri"/>
          <w:color w:val="FFFFFF" w:themeColor="background1"/>
          <w:lang w:eastAsia="en-CA"/>
        </w:rPr>
        <w:t xml:space="preserve"> Windsor</w:t>
      </w:r>
      <w:r w:rsidR="00D31239" w:rsidRPr="00A15111">
        <w:rPr>
          <w:rFonts w:eastAsia="Times New Roman" w:cs="Calibri"/>
          <w:color w:val="FFFFFF" w:themeColor="background1"/>
          <w:lang w:eastAsia="en-CA"/>
        </w:rPr>
        <w:t xml:space="preserve"> has an international relations committee</w:t>
      </w:r>
      <w:r w:rsidRPr="00A15111">
        <w:rPr>
          <w:rFonts w:eastAsia="Times New Roman" w:cs="Calibri"/>
          <w:color w:val="FFFFFF" w:themeColor="background1"/>
          <w:lang w:eastAsia="en-CA"/>
        </w:rPr>
        <w:t xml:space="preserve"> that is responsible for promoting the enhancement of Windsor’s international image, enhancing relationships with twinning cities and supporting international education, cultural, sport and economic initiatives. The eight person committee is composed of councillors and local citizens. </w:t>
      </w:r>
    </w:p>
    <w:p w14:paraId="4BD09DD3" w14:textId="2908696F" w:rsidR="00122BE4" w:rsidRPr="00201551" w:rsidRDefault="009307E2" w:rsidP="00201551">
      <w:pPr>
        <w:pStyle w:val="Heading3"/>
        <w:rPr>
          <w:color w:val="auto"/>
        </w:rPr>
      </w:pPr>
      <w:bookmarkStart w:id="33" w:name="_Toc462982534"/>
      <w:bookmarkStart w:id="34" w:name="_Toc462988908"/>
      <w:bookmarkStart w:id="35" w:name="_Toc463342155"/>
      <w:bookmarkStart w:id="36" w:name="_Toc467163286"/>
      <w:r w:rsidRPr="00201551">
        <w:rPr>
          <w:color w:val="auto"/>
        </w:rPr>
        <w:t xml:space="preserve">Relations with Indigenous </w:t>
      </w:r>
      <w:r w:rsidR="00816267" w:rsidRPr="00201551">
        <w:rPr>
          <w:color w:val="auto"/>
        </w:rPr>
        <w:t>P</w:t>
      </w:r>
      <w:r w:rsidRPr="00201551">
        <w:rPr>
          <w:color w:val="auto"/>
        </w:rPr>
        <w:t>eoples</w:t>
      </w:r>
      <w:bookmarkEnd w:id="33"/>
      <w:bookmarkEnd w:id="34"/>
      <w:bookmarkEnd w:id="35"/>
      <w:bookmarkEnd w:id="36"/>
    </w:p>
    <w:p w14:paraId="479F20AD" w14:textId="54655F3E" w:rsidR="00F13ECA" w:rsidRPr="00A15111" w:rsidRDefault="009307E2" w:rsidP="009307E2">
      <w:r w:rsidRPr="00A15111">
        <w:t>All of the municipalities make some reference to relations with Indigenous communities. They offer a range of services</w:t>
      </w:r>
      <w:r w:rsidR="000B106C" w:rsidRPr="00A15111">
        <w:t xml:space="preserve"> specifically for Indigenous P</w:t>
      </w:r>
      <w:r w:rsidR="007D595C" w:rsidRPr="00A15111">
        <w:t>eoples, such as health centres or housing,</w:t>
      </w:r>
      <w:r w:rsidRPr="00A15111">
        <w:t xml:space="preserve"> and note their support for Indigenous celebrations and special events. Where cities vary is in terms of the extent to which relationships with Indigenous people are formalized in terms of specific </w:t>
      </w:r>
      <w:r w:rsidR="007D595C" w:rsidRPr="00A15111">
        <w:t xml:space="preserve">strategies, </w:t>
      </w:r>
      <w:r w:rsidRPr="00A15111">
        <w:t>partnership</w:t>
      </w:r>
      <w:r w:rsidR="007D595C" w:rsidRPr="00A15111">
        <w:t>s</w:t>
      </w:r>
      <w:r w:rsidRPr="00A15111">
        <w:t xml:space="preserve"> </w:t>
      </w:r>
      <w:r w:rsidR="007D595C" w:rsidRPr="00A15111">
        <w:t xml:space="preserve">and institutions for cooperation; only five municipalities pointed to more formalized relationships. </w:t>
      </w:r>
      <w:r w:rsidR="000B7752" w:rsidRPr="00A15111">
        <w:t>Thunder Bay has an Aboriginal Liaison Strategy and has made a commitment to strengthen relationships with Indigenous peoples</w:t>
      </w:r>
      <w:r w:rsidR="007D595C" w:rsidRPr="00A15111">
        <w:t xml:space="preserve">. It is the first city in Ontario to have such a strategy. Toronto has an Urban Aboriginal Strategy. Sudbury has a formal partnership with the Wahnapitae First Nations while Ottawa has an Aboriginal Working Committee. </w:t>
      </w:r>
    </w:p>
    <w:p w14:paraId="3EB56D81" w14:textId="0FE28F6C" w:rsidR="00F13ECA" w:rsidRPr="00A15111" w:rsidRDefault="00BE6D9E" w:rsidP="009307E2">
      <w:pPr>
        <w:pStyle w:val="Heading2"/>
      </w:pPr>
      <w:bookmarkStart w:id="37" w:name="_Toc462982535"/>
      <w:bookmarkStart w:id="38" w:name="_Toc462988909"/>
      <w:bookmarkStart w:id="39" w:name="_Toc463342156"/>
      <w:bookmarkStart w:id="40" w:name="_Toc467163287"/>
      <w:r w:rsidRPr="00A15111">
        <w:t>Colleges and U</w:t>
      </w:r>
      <w:r w:rsidR="00F13ECA" w:rsidRPr="00A15111">
        <w:t>niversities</w:t>
      </w:r>
      <w:bookmarkEnd w:id="37"/>
      <w:bookmarkEnd w:id="38"/>
      <w:bookmarkEnd w:id="39"/>
      <w:bookmarkEnd w:id="40"/>
    </w:p>
    <w:p w14:paraId="5136D3D7" w14:textId="0D34E6DC" w:rsidR="00F13ECA" w:rsidRPr="00A15111" w:rsidRDefault="00F13ECA" w:rsidP="005B01B0">
      <w:r w:rsidRPr="00A15111">
        <w:t>Overall</w:t>
      </w:r>
      <w:r w:rsidR="005B01B0" w:rsidRPr="00A15111">
        <w:t>,</w:t>
      </w:r>
      <w:r w:rsidR="00BD78C8" w:rsidRPr="00A15111">
        <w:t xml:space="preserve"> </w:t>
      </w:r>
      <w:r w:rsidRPr="00A15111">
        <w:t>universities</w:t>
      </w:r>
      <w:r w:rsidR="00BD78C8" w:rsidRPr="00A15111">
        <w:t xml:space="preserve"> are</w:t>
      </w:r>
      <w:r w:rsidRPr="00A15111">
        <w:t xml:space="preserve"> more likely to be engaged on international cooperation issues and the SDGs than colleges (</w:t>
      </w:r>
      <w:r w:rsidR="005B01B0" w:rsidRPr="00A15111">
        <w:t>with some notable exceptions, such as Humber College</w:t>
      </w:r>
      <w:r w:rsidRPr="00A15111">
        <w:t>)</w:t>
      </w:r>
      <w:r w:rsidR="005B01B0" w:rsidRPr="00A15111">
        <w:t xml:space="preserve">. </w:t>
      </w:r>
    </w:p>
    <w:p w14:paraId="50AE4934" w14:textId="77777777" w:rsidR="00122BE4" w:rsidRDefault="00122BE4" w:rsidP="00122BE4">
      <w:pPr>
        <w:pStyle w:val="Heading3"/>
      </w:pPr>
      <w:bookmarkStart w:id="41" w:name="_Toc462982536"/>
      <w:bookmarkStart w:id="42" w:name="_Toc462988910"/>
      <w:bookmarkStart w:id="43" w:name="_Toc463342157"/>
    </w:p>
    <w:p w14:paraId="5710A1B9" w14:textId="704DC621" w:rsidR="00122BE4" w:rsidRPr="00122BE4" w:rsidRDefault="00BD78C8" w:rsidP="00122BE4">
      <w:pPr>
        <w:pStyle w:val="Heading3"/>
        <w:rPr>
          <w:color w:val="auto"/>
        </w:rPr>
      </w:pPr>
      <w:bookmarkStart w:id="44" w:name="_Toc467163288"/>
      <w:r w:rsidRPr="00122BE4">
        <w:rPr>
          <w:color w:val="auto"/>
        </w:rPr>
        <w:t>Linkages to the SDGs</w:t>
      </w:r>
      <w:bookmarkEnd w:id="41"/>
      <w:bookmarkEnd w:id="42"/>
      <w:bookmarkEnd w:id="43"/>
      <w:bookmarkEnd w:id="44"/>
    </w:p>
    <w:p w14:paraId="57223F7D" w14:textId="04DAD8C2" w:rsidR="00BD78C8" w:rsidRPr="00A15111" w:rsidRDefault="00BD78C8" w:rsidP="00BD78C8">
      <w:r w:rsidRPr="00A15111">
        <w:t>Nine members of CCUPIDS were included in the analysis, one college (Humber</w:t>
      </w:r>
      <w:r w:rsidR="00F6600A" w:rsidRPr="00A15111">
        <w:t xml:space="preserve"> College</w:t>
      </w:r>
      <w:r w:rsidRPr="00A15111">
        <w:t xml:space="preserve">) and eight universities. The review revealed that CCUPIDS members do not </w:t>
      </w:r>
      <w:r w:rsidR="00912C82" w:rsidRPr="00A15111">
        <w:t>point to</w:t>
      </w:r>
      <w:r w:rsidRPr="00A15111">
        <w:t xml:space="preserve"> the SDGs or MDGs</w:t>
      </w:r>
      <w:r w:rsidR="00F6600A" w:rsidRPr="00A15111">
        <w:t xml:space="preserve"> in the framing of</w:t>
      </w:r>
      <w:r w:rsidR="007577FA" w:rsidRPr="00A15111">
        <w:t xml:space="preserve"> overall IDS programs</w:t>
      </w:r>
      <w:r w:rsidRPr="00A15111">
        <w:t>. Generally speaking, the SDGs and MDGs are referred to in course outlines, guest le</w:t>
      </w:r>
      <w:r w:rsidR="00A15CF0" w:rsidRPr="00A15111">
        <w:t xml:space="preserve">ctures, showcased publications </w:t>
      </w:r>
      <w:r w:rsidRPr="00A15111">
        <w:t xml:space="preserve">or specific events. Of the institutions examined, the University of Ottawa’s School of International Development and Global Studies provided significant evidence of linkages to the SDGs in terms of references to the global goals in course outlines, as well as in terms of public events on the SDGs, many of which have been hosted in partnership with CSOs. </w:t>
      </w:r>
    </w:p>
    <w:p w14:paraId="57EA82F6" w14:textId="7FE44BD1" w:rsidR="00BD78C8" w:rsidRDefault="00BD78C8" w:rsidP="00BD78C8">
      <w:r w:rsidRPr="00A15111">
        <w:t>Beyond specific IDS programs, site searches of colleges and universities (which capture</w:t>
      </w:r>
      <w:r w:rsidR="00912C82" w:rsidRPr="00A15111">
        <w:t xml:space="preserve"> all departments, including </w:t>
      </w:r>
      <w:r w:rsidRPr="00A15111">
        <w:t>international centr</w:t>
      </w:r>
      <w:r w:rsidR="00DD102A" w:rsidRPr="00A15111">
        <w:t>e</w:t>
      </w:r>
      <w:r w:rsidR="00912C82" w:rsidRPr="00A15111">
        <w:t>s and</w:t>
      </w:r>
      <w:r w:rsidR="00DD102A" w:rsidRPr="00A15111">
        <w:t xml:space="preserve"> program</w:t>
      </w:r>
      <w:r w:rsidR="00912C82" w:rsidRPr="00A15111">
        <w:t>s</w:t>
      </w:r>
      <w:r w:rsidR="00DD102A" w:rsidRPr="00A15111">
        <w:t>), revealed that 13</w:t>
      </w:r>
      <w:r w:rsidR="00E63B6B" w:rsidRPr="00A15111">
        <w:t xml:space="preserve"> of the</w:t>
      </w:r>
      <w:r w:rsidR="00DD102A" w:rsidRPr="00A15111">
        <w:t xml:space="preserve"> 14</w:t>
      </w:r>
      <w:r w:rsidR="00F6600A" w:rsidRPr="00A15111">
        <w:t xml:space="preserve"> </w:t>
      </w:r>
      <w:r w:rsidRPr="00A15111">
        <w:t>colleges</w:t>
      </w:r>
      <w:r w:rsidR="00E63B6B" w:rsidRPr="00A15111">
        <w:t xml:space="preserve"> examined</w:t>
      </w:r>
      <w:r w:rsidRPr="00A15111">
        <w:t xml:space="preserve"> make no re</w:t>
      </w:r>
      <w:r w:rsidR="00DD102A" w:rsidRPr="00A15111">
        <w:t>ference to the SDGs. Of these 13</w:t>
      </w:r>
      <w:r w:rsidRPr="00A15111">
        <w:t>, four colleges referred to the MDGs, however to a very minimal extent (i.e. one ad hoc paper</w:t>
      </w:r>
      <w:r w:rsidR="00775FD7" w:rsidRPr="00A15111">
        <w:t>,</w:t>
      </w:r>
      <w:r w:rsidRPr="00A15111">
        <w:t xml:space="preserve"> event</w:t>
      </w:r>
      <w:r w:rsidR="00775FD7" w:rsidRPr="00A15111">
        <w:t xml:space="preserve"> or initiative</w:t>
      </w:r>
      <w:r w:rsidRPr="00A15111">
        <w:t xml:space="preserve">).  </w:t>
      </w:r>
      <w:r w:rsidR="00E63B6B" w:rsidRPr="00A15111">
        <w:t>Seven</w:t>
      </w:r>
      <w:r w:rsidR="00F6600A" w:rsidRPr="00A15111">
        <w:t xml:space="preserve"> </w:t>
      </w:r>
      <w:r w:rsidR="00775FD7" w:rsidRPr="00A15111">
        <w:t xml:space="preserve">universities make no reference to the SDGs, however within this mix, three make reference to the MDGs either through course outlines, guest lectures or publications. </w:t>
      </w:r>
      <w:r w:rsidR="00252511" w:rsidRPr="00A15111">
        <w:t xml:space="preserve">The </w:t>
      </w:r>
      <w:r w:rsidR="00F6600A" w:rsidRPr="00A15111">
        <w:t xml:space="preserve">four </w:t>
      </w:r>
      <w:r w:rsidR="00252511" w:rsidRPr="00A15111">
        <w:t xml:space="preserve">university colleges examined only make reference to the MDGs. </w:t>
      </w:r>
      <w:r w:rsidR="00775FD7" w:rsidRPr="00A15111">
        <w:t>Universities that demonstrate greater engagement on the SDGs include the University of Waterloo, York University, Wilfrid Laurier University, University of Ottawa, Carleton University, and Ryerson University. These institutions make reference to the SDGs and/or MDGs in courses from a variety of departments, events, publications, including formal research reports and blogs, and special initiatives (Box</w:t>
      </w:r>
      <w:r w:rsidR="0014536A" w:rsidRPr="00A15111">
        <w:t xml:space="preserve"> </w:t>
      </w:r>
      <w:r w:rsidR="00775FD7" w:rsidRPr="00A15111">
        <w:t xml:space="preserve">3).  </w:t>
      </w:r>
    </w:p>
    <w:p w14:paraId="61E92A36" w14:textId="77777777" w:rsidR="003E569A" w:rsidRPr="00A15111" w:rsidRDefault="003E569A" w:rsidP="00BD78C8"/>
    <w:p w14:paraId="5AAF0E6D" w14:textId="376E79BA" w:rsidR="00775FD7" w:rsidRPr="00A15111" w:rsidRDefault="00775FD7" w:rsidP="00716DFE">
      <w:pPr>
        <w:pBdr>
          <w:top w:val="single" w:sz="4" w:space="1" w:color="auto"/>
          <w:left w:val="single" w:sz="4" w:space="4" w:color="auto"/>
          <w:bottom w:val="single" w:sz="4" w:space="1" w:color="auto"/>
          <w:right w:val="single" w:sz="4" w:space="4" w:color="auto"/>
        </w:pBdr>
        <w:shd w:val="clear" w:color="auto" w:fill="008D7F"/>
        <w:spacing w:after="0"/>
        <w:rPr>
          <w:b/>
          <w:color w:val="FFFFFF" w:themeColor="background1"/>
        </w:rPr>
      </w:pPr>
      <w:r w:rsidRPr="00A15111">
        <w:rPr>
          <w:b/>
          <w:color w:val="FFFFFF" w:themeColor="background1"/>
        </w:rPr>
        <w:lastRenderedPageBreak/>
        <w:t>Box 3. Ryerson Uni</w:t>
      </w:r>
      <w:r w:rsidR="00A15CF0" w:rsidRPr="00A15111">
        <w:rPr>
          <w:b/>
          <w:color w:val="FFFFFF" w:themeColor="background1"/>
        </w:rPr>
        <w:t>versity E</w:t>
      </w:r>
      <w:r w:rsidRPr="00A15111">
        <w:rPr>
          <w:b/>
          <w:color w:val="FFFFFF" w:themeColor="background1"/>
        </w:rPr>
        <w:t>ngagement on the SDGs</w:t>
      </w:r>
      <w:r w:rsidR="00912C82" w:rsidRPr="00A15111">
        <w:rPr>
          <w:b/>
          <w:color w:val="FFFFFF" w:themeColor="background1"/>
        </w:rPr>
        <w:t>: An example</w:t>
      </w:r>
    </w:p>
    <w:p w14:paraId="08C95D7E" w14:textId="77777777" w:rsidR="0014536A" w:rsidRPr="00A15111" w:rsidRDefault="0014536A" w:rsidP="00716DFE">
      <w:pPr>
        <w:pBdr>
          <w:top w:val="single" w:sz="4" w:space="1" w:color="auto"/>
          <w:left w:val="single" w:sz="4" w:space="4" w:color="auto"/>
          <w:bottom w:val="single" w:sz="4" w:space="1" w:color="auto"/>
          <w:right w:val="single" w:sz="4" w:space="4" w:color="auto"/>
        </w:pBdr>
        <w:shd w:val="clear" w:color="auto" w:fill="008D7F"/>
        <w:rPr>
          <w:color w:val="FFFFFF" w:themeColor="background1"/>
        </w:rPr>
      </w:pPr>
      <w:r w:rsidRPr="00A15111">
        <w:rPr>
          <w:color w:val="FFFFFF" w:themeColor="background1"/>
        </w:rPr>
        <w:t xml:space="preserve">Ryerson University is an </w:t>
      </w:r>
      <w:hyperlink r:id="rId11" w:history="1">
        <w:r w:rsidRPr="00A15111">
          <w:rPr>
            <w:rStyle w:val="Hyperlink"/>
            <w:color w:val="FFCCFF"/>
          </w:rPr>
          <w:t>Ashoka U Changemaker Campus</w:t>
        </w:r>
      </w:hyperlink>
      <w:r w:rsidRPr="00A15111">
        <w:rPr>
          <w:color w:val="E7E6E6" w:themeColor="background2"/>
        </w:rPr>
        <w:t xml:space="preserve"> </w:t>
      </w:r>
      <w:r w:rsidRPr="00A15111">
        <w:rPr>
          <w:color w:val="FFFFFF" w:themeColor="background1"/>
        </w:rPr>
        <w:t xml:space="preserve">and has a specific program in social innovation. The program is inspired by the SDGs and aims to address poverty alleviation; education; health; human rights, diversity and inclusion; violence prevention and peacebuilding; sustainability; and capacity building and engagement. The program includes partnerships with community members and aims to support future changemakers through awareness raising, skills development, project support, </w:t>
      </w:r>
      <w:r w:rsidRPr="00A15111">
        <w:rPr>
          <w:i/>
          <w:color w:val="FFFFFF" w:themeColor="background1"/>
        </w:rPr>
        <w:t>inter alia</w:t>
      </w:r>
      <w:r w:rsidRPr="00A15111">
        <w:rPr>
          <w:color w:val="FFFFFF" w:themeColor="background1"/>
        </w:rPr>
        <w:t>, on social innovation for the SDGs.</w:t>
      </w:r>
      <w:r w:rsidR="00252511" w:rsidRPr="00A15111">
        <w:rPr>
          <w:color w:val="FFFFFF" w:themeColor="background1"/>
        </w:rPr>
        <w:t xml:space="preserve"> </w:t>
      </w:r>
      <w:r w:rsidRPr="00A15111">
        <w:rPr>
          <w:color w:val="FFFFFF" w:themeColor="background1"/>
        </w:rPr>
        <w:t xml:space="preserve">As part of the social innovation program, the university launched a two-year </w:t>
      </w:r>
      <w:r w:rsidR="00775FD7" w:rsidRPr="00A15111">
        <w:rPr>
          <w:color w:val="FFFFFF" w:themeColor="background1"/>
        </w:rPr>
        <w:t>RECODE initiative</w:t>
      </w:r>
      <w:r w:rsidRPr="00A15111">
        <w:rPr>
          <w:color w:val="FFFFFF" w:themeColor="background1"/>
        </w:rPr>
        <w:t xml:space="preserve"> in 2015</w:t>
      </w:r>
      <w:r w:rsidR="00775FD7" w:rsidRPr="00A15111">
        <w:rPr>
          <w:color w:val="FFFFFF" w:themeColor="background1"/>
        </w:rPr>
        <w:t xml:space="preserve"> to scale up</w:t>
      </w:r>
      <w:r w:rsidRPr="00A15111">
        <w:rPr>
          <w:color w:val="FFFFFF" w:themeColor="background1"/>
        </w:rPr>
        <w:t xml:space="preserve"> social innovation</w:t>
      </w:r>
      <w:r w:rsidR="00775FD7" w:rsidRPr="00A15111">
        <w:rPr>
          <w:color w:val="FFFFFF" w:themeColor="background1"/>
        </w:rPr>
        <w:t xml:space="preserve"> at </w:t>
      </w:r>
      <w:r w:rsidRPr="00A15111">
        <w:rPr>
          <w:color w:val="FFFFFF" w:themeColor="background1"/>
        </w:rPr>
        <w:t xml:space="preserve">the university. The initiative encourages </w:t>
      </w:r>
      <w:r w:rsidR="00775FD7" w:rsidRPr="00A15111">
        <w:rPr>
          <w:color w:val="FFFFFF" w:themeColor="background1"/>
        </w:rPr>
        <w:t xml:space="preserve">faculty members and students to apply for awards for individual or collaborative and interdisciplinary research in social innovation. </w:t>
      </w:r>
    </w:p>
    <w:p w14:paraId="493B1FD7" w14:textId="7C414DAC" w:rsidR="00122BE4" w:rsidRPr="00122BE4" w:rsidRDefault="00A15CF0" w:rsidP="00122BE4">
      <w:pPr>
        <w:pStyle w:val="Heading3"/>
        <w:rPr>
          <w:color w:val="auto"/>
        </w:rPr>
      </w:pPr>
      <w:bookmarkStart w:id="45" w:name="_Toc462982537"/>
      <w:bookmarkStart w:id="46" w:name="_Toc462988911"/>
      <w:bookmarkStart w:id="47" w:name="_Toc463342158"/>
      <w:bookmarkStart w:id="48" w:name="_Toc467163289"/>
      <w:r w:rsidRPr="00122BE4">
        <w:rPr>
          <w:color w:val="auto"/>
        </w:rPr>
        <w:t>International C</w:t>
      </w:r>
      <w:r w:rsidR="005E4F8B" w:rsidRPr="00122BE4">
        <w:rPr>
          <w:color w:val="auto"/>
        </w:rPr>
        <w:t>o</w:t>
      </w:r>
      <w:r w:rsidRPr="00122BE4">
        <w:rPr>
          <w:color w:val="auto"/>
        </w:rPr>
        <w:t>operation A</w:t>
      </w:r>
      <w:r w:rsidR="007577FA" w:rsidRPr="00122BE4">
        <w:rPr>
          <w:color w:val="auto"/>
        </w:rPr>
        <w:t>ctivities</w:t>
      </w:r>
      <w:bookmarkEnd w:id="45"/>
      <w:bookmarkEnd w:id="46"/>
      <w:bookmarkEnd w:id="47"/>
      <w:bookmarkEnd w:id="48"/>
    </w:p>
    <w:p w14:paraId="18FA88B8" w14:textId="77777777" w:rsidR="00252511" w:rsidRPr="00A15111" w:rsidRDefault="00252511" w:rsidP="00252511">
      <w:r w:rsidRPr="00A15111">
        <w:t>The research revealed significant variation between and among colleges and universities in terms of their emphasis on international cooperation. The findings presented below likely understate the extent to which colleges and</w:t>
      </w:r>
      <w:r w:rsidR="007577FA" w:rsidRPr="00A15111">
        <w:t xml:space="preserve"> universities</w:t>
      </w:r>
      <w:r w:rsidRPr="00A15111">
        <w:t xml:space="preserve"> are engaging in international cooperation, particularly as they do not consistently showcase their endeavours. Nevertheless, the findings do provide an indication of which activities are the most prominent.</w:t>
      </w:r>
    </w:p>
    <w:p w14:paraId="5E5BA7E0" w14:textId="00B51A64" w:rsidR="004A4654" w:rsidRPr="00A15111" w:rsidRDefault="00252511" w:rsidP="008F0912">
      <w:r w:rsidRPr="00A15111">
        <w:t xml:space="preserve">In </w:t>
      </w:r>
      <w:r w:rsidR="008F0912" w:rsidRPr="00A15111">
        <w:t>terms of overall figures, of the 3</w:t>
      </w:r>
      <w:r w:rsidRPr="00A15111">
        <w:t xml:space="preserve">3 </w:t>
      </w:r>
      <w:r w:rsidR="008F0912" w:rsidRPr="00A15111">
        <w:t>academic institutions</w:t>
      </w:r>
      <w:r w:rsidR="00912C82" w:rsidRPr="00A15111">
        <w:t xml:space="preserve"> ex</w:t>
      </w:r>
      <w:r w:rsidR="008F0912" w:rsidRPr="00A15111">
        <w:t>amined, 27 offer opportunities for students to study abroad. All of the universities examined offer study abroad opportunities while three colleges and two university colleges do not provide information on this type of opportunity for students.</w:t>
      </w:r>
      <w:r w:rsidR="00FB6918" w:rsidRPr="00A15111">
        <w:t xml:space="preserve"> Twelve universities and five colleges showcased internship opportunities for students abroad. Ten universities and four colleges highlighted international volunteer opportunities, which tend to be more ad hoc and short term in nature than formal internships, such as alternative reading week initiatives. Eight institutions (two colleges and six universities) highlighted opportunities for students to participate in applied research projects abroad. </w:t>
      </w:r>
    </w:p>
    <w:p w14:paraId="7D441C94" w14:textId="289FAF62" w:rsidR="004A4654" w:rsidRPr="00A15111" w:rsidRDefault="00FB6918" w:rsidP="008F0912">
      <w:r w:rsidRPr="00A15111">
        <w:t xml:space="preserve">Of the colleges examined, Centennial College of Applied Arts and Technology, George Brown, Humber College and Seneca College were the most active in </w:t>
      </w:r>
      <w:r w:rsidR="004A4654" w:rsidRPr="00A15111">
        <w:t>terms of their international centres and programs</w:t>
      </w:r>
      <w:r w:rsidRPr="00A15111">
        <w:t>, providing opportunitie</w:t>
      </w:r>
      <w:r w:rsidR="00A15CF0" w:rsidRPr="00A15111">
        <w:t>s for study abroad, internships</w:t>
      </w:r>
      <w:r w:rsidRPr="00A15111">
        <w:t xml:space="preserve"> and volunteering. </w:t>
      </w:r>
      <w:r w:rsidR="004A4654" w:rsidRPr="00A15111">
        <w:t xml:space="preserve">Centennial College, </w:t>
      </w:r>
      <w:r w:rsidRPr="00A15111">
        <w:t>George Bro</w:t>
      </w:r>
      <w:r w:rsidR="004A4654" w:rsidRPr="00A15111">
        <w:t>wn</w:t>
      </w:r>
      <w:r w:rsidRPr="00A15111">
        <w:t xml:space="preserve"> </w:t>
      </w:r>
      <w:r w:rsidR="004A4654" w:rsidRPr="00A15111">
        <w:t>and Senec</w:t>
      </w:r>
      <w:r w:rsidR="00912C82" w:rsidRPr="00A15111">
        <w:t>a also offer international cooperative education</w:t>
      </w:r>
      <w:r w:rsidR="004A4654" w:rsidRPr="00A15111">
        <w:t xml:space="preserve"> opportunities. Humber College and Centennial </w:t>
      </w:r>
      <w:r w:rsidR="00E63B6B" w:rsidRPr="00A15111">
        <w:t xml:space="preserve">College </w:t>
      </w:r>
      <w:r w:rsidR="004A4654" w:rsidRPr="00A15111">
        <w:t xml:space="preserve">offer opportunities for students to participate in applied research projects abroad. Other types of international cooperation activities examined, namely public engagement, policy dialogue, communities of practice, collaborative research projects and project delivery were not showcased by colleges, with </w:t>
      </w:r>
      <w:r w:rsidR="00E63B6B" w:rsidRPr="00A15111">
        <w:t>the exception of Collège Boréal that showcased development projects</w:t>
      </w:r>
      <w:r w:rsidR="004A4654" w:rsidRPr="00A15111">
        <w:t xml:space="preserve">. </w:t>
      </w:r>
    </w:p>
    <w:p w14:paraId="390962A9" w14:textId="5BEA2142" w:rsidR="00F60BCD" w:rsidRPr="00A15111" w:rsidRDefault="00FA26FC" w:rsidP="008F0912">
      <w:r w:rsidRPr="00A15111">
        <w:t>University international centres and programs</w:t>
      </w:r>
      <w:r w:rsidR="004A4654" w:rsidRPr="00A15111">
        <w:t xml:space="preserve"> were more likely to refer to other types of international cooperation activities, albeit to a very limited extent.</w:t>
      </w:r>
      <w:r w:rsidRPr="00A15111">
        <w:t xml:space="preserve"> Outside CCUPIDS members, discussed below, only</w:t>
      </w:r>
      <w:r w:rsidR="004A4654" w:rsidRPr="00A15111">
        <w:t xml:space="preserve"> R</w:t>
      </w:r>
      <w:r w:rsidRPr="00A15111">
        <w:t>yerson U</w:t>
      </w:r>
      <w:r w:rsidR="004A4654" w:rsidRPr="00A15111">
        <w:t>niversity showcased public engagement and policy dialogue on development issues</w:t>
      </w:r>
      <w:r w:rsidRPr="00A15111">
        <w:t>. The University of Waterloo offers internat</w:t>
      </w:r>
      <w:r w:rsidR="00E63B6B" w:rsidRPr="00A15111">
        <w:t xml:space="preserve">ional co-op opportunities. </w:t>
      </w:r>
      <w:r w:rsidRPr="00A15111">
        <w:t>Queen’s University, the University of Waterloo</w:t>
      </w:r>
      <w:r w:rsidR="00FF6C42" w:rsidRPr="00A15111">
        <w:t>,</w:t>
      </w:r>
      <w:r w:rsidRPr="00A15111">
        <w:t xml:space="preserve"> the University of Western Ontario (UWO</w:t>
      </w:r>
      <w:r w:rsidR="00FF6C42" w:rsidRPr="00A15111">
        <w:t>) and Huron University College at UWO</w:t>
      </w:r>
      <w:r w:rsidRPr="00A15111">
        <w:t xml:space="preserve"> showcased projects related to international development. In terms of collaborative research on development issues, five universities highlighted projects with international partners, four with other Canadian academic institutions and two with Canadian CSOs. </w:t>
      </w:r>
    </w:p>
    <w:p w14:paraId="381AC1D7" w14:textId="63FC98C0" w:rsidR="00F60BCD" w:rsidRPr="00A15111" w:rsidRDefault="00F60BCD" w:rsidP="008F0912">
      <w:r w:rsidRPr="00A15111">
        <w:lastRenderedPageBreak/>
        <w:t xml:space="preserve">In addition to the activities noted above, a number of colleges and universities have developed programs </w:t>
      </w:r>
      <w:r w:rsidR="008E3742" w:rsidRPr="00A15111">
        <w:t xml:space="preserve">or institutions </w:t>
      </w:r>
      <w:r w:rsidRPr="00A15111">
        <w:t xml:space="preserve">dedicated to promoting global citizen and leadership though activities such as specific course work, extra-curricular activities, community engagement and international experiences. These include </w:t>
      </w:r>
      <w:r w:rsidR="008E3742" w:rsidRPr="00A15111">
        <w:t xml:space="preserve">Centennial College, Guelph University, </w:t>
      </w:r>
      <w:r w:rsidRPr="00A15111">
        <w:t xml:space="preserve">Humber College, </w:t>
      </w:r>
      <w:r w:rsidR="008E3742" w:rsidRPr="00A15111">
        <w:t xml:space="preserve">University of Ottawa, </w:t>
      </w:r>
      <w:r w:rsidRPr="00A15111">
        <w:t xml:space="preserve">University of Waterloo, </w:t>
      </w:r>
      <w:r w:rsidR="00A15CF0" w:rsidRPr="00A15111">
        <w:t>Wilfrid Laurier University</w:t>
      </w:r>
      <w:r w:rsidR="008E3742" w:rsidRPr="00A15111">
        <w:t xml:space="preserve"> and </w:t>
      </w:r>
      <w:r w:rsidRPr="00A15111">
        <w:t>York University (certificate of international experience)</w:t>
      </w:r>
      <w:r w:rsidR="008E3742" w:rsidRPr="00A15111">
        <w:t xml:space="preserve">. </w:t>
      </w:r>
      <w:r w:rsidRPr="00A15111">
        <w:t xml:space="preserve">   </w:t>
      </w:r>
    </w:p>
    <w:p w14:paraId="758B23C7" w14:textId="4130C828" w:rsidR="00740CD9" w:rsidRPr="00A15111" w:rsidRDefault="00FA26FC" w:rsidP="008F0912">
      <w:r w:rsidRPr="00A15111">
        <w:t xml:space="preserve">CCUPIDS members </w:t>
      </w:r>
      <w:r w:rsidR="006878DB" w:rsidRPr="00A15111">
        <w:t xml:space="preserve">typically provide opportunities for students to engage in international cooperation through IDS programs. </w:t>
      </w:r>
      <w:r w:rsidR="008E3742" w:rsidRPr="00A15111">
        <w:t>Six of the nine CCUPIDS members showcase study abroad opportunities associated with the IDS program while seven showcase internship opportunities.</w:t>
      </w:r>
      <w:r w:rsidR="006878DB" w:rsidRPr="00A15111">
        <w:t xml:space="preserve"> Though such programs also have professors that engage in collaborative research, very few IDS programs actually showcase their efforts through department websites.</w:t>
      </w:r>
      <w:r w:rsidR="00F60BCD" w:rsidRPr="00A15111">
        <w:t xml:space="preserve"> </w:t>
      </w:r>
      <w:r w:rsidR="008E3742" w:rsidRPr="00A15111">
        <w:t xml:space="preserve">Humber College and the University of Ottawa </w:t>
      </w:r>
      <w:r w:rsidR="00E63B6B" w:rsidRPr="00A15111">
        <w:t>provided information on</w:t>
      </w:r>
      <w:r w:rsidR="008E3742" w:rsidRPr="00A15111">
        <w:t xml:space="preserve"> the widest array</w:t>
      </w:r>
      <w:r w:rsidR="006878DB" w:rsidRPr="00A15111">
        <w:t xml:space="preserve"> of activities</w:t>
      </w:r>
      <w:r w:rsidR="008E3742" w:rsidRPr="00A15111">
        <w:t>. Humber has an International Development Institute that works closely with the Business School’s i</w:t>
      </w:r>
      <w:r w:rsidR="006878DB" w:rsidRPr="00A15111">
        <w:t xml:space="preserve">nternational development stream and </w:t>
      </w:r>
      <w:r w:rsidR="00E63B6B" w:rsidRPr="00A15111">
        <w:t>supports</w:t>
      </w:r>
      <w:r w:rsidR="006878DB" w:rsidRPr="00A15111">
        <w:t xml:space="preserve"> public engagement activities, funded research, collaborative research with international partners, other Canadian academic institutions and Canadian CSOs, and development projects. The University of Ottawa </w:t>
      </w:r>
      <w:r w:rsidR="00E63B6B" w:rsidRPr="00A15111">
        <w:t>engages in</w:t>
      </w:r>
      <w:r w:rsidR="006878DB" w:rsidRPr="00A15111">
        <w:t xml:space="preserve"> policy dialogue, funded research, collaborative research with international partners and other Canadian academic institutions and development projects.</w:t>
      </w:r>
      <w:r w:rsidR="00740CD9" w:rsidRPr="00A15111">
        <w:t xml:space="preserve"> </w:t>
      </w:r>
    </w:p>
    <w:p w14:paraId="75E87EDA" w14:textId="77777777" w:rsidR="00FA26FC" w:rsidRPr="00A15111" w:rsidRDefault="00740CD9" w:rsidP="008F0912">
      <w:r w:rsidRPr="00A15111">
        <w:t xml:space="preserve">A number of IDS programs also include local experiential learning opportunities as part of courses. </w:t>
      </w:r>
      <w:r w:rsidR="008E3742" w:rsidRPr="00A15111">
        <w:t xml:space="preserve"> </w:t>
      </w:r>
      <w:r w:rsidR="00CD3247" w:rsidRPr="00A15111">
        <w:t>Queen’s University</w:t>
      </w:r>
      <w:r w:rsidR="005E4F8B" w:rsidRPr="00A15111">
        <w:t>, Wilfrid Laurier University and</w:t>
      </w:r>
      <w:r w:rsidR="006401EB" w:rsidRPr="00A15111">
        <w:t xml:space="preserve"> York University</w:t>
      </w:r>
      <w:r w:rsidR="005E4F8B" w:rsidRPr="00A15111">
        <w:t xml:space="preserve"> have opportunities for students to intern or volunteer</w:t>
      </w:r>
      <w:r w:rsidR="00CD3247" w:rsidRPr="00A15111">
        <w:t xml:space="preserve"> in Canada or abroad and receive credit. </w:t>
      </w:r>
      <w:r w:rsidR="005E4F8B" w:rsidRPr="00A15111">
        <w:t xml:space="preserve">The University of Waterloo includes a field work placement as part of its undergraduate program. </w:t>
      </w:r>
    </w:p>
    <w:p w14:paraId="2A0BA2C5" w14:textId="29B48852" w:rsidR="00A15CF0" w:rsidRPr="00122BE4" w:rsidRDefault="00A15CF0" w:rsidP="005E4F8B">
      <w:pPr>
        <w:pStyle w:val="Heading3"/>
        <w:rPr>
          <w:color w:val="auto"/>
        </w:rPr>
      </w:pPr>
      <w:bookmarkStart w:id="49" w:name="_Toc462982538"/>
      <w:bookmarkStart w:id="50" w:name="_Toc462988912"/>
      <w:bookmarkStart w:id="51" w:name="_Toc463342159"/>
      <w:bookmarkStart w:id="52" w:name="_Toc467163290"/>
      <w:r w:rsidRPr="00122BE4">
        <w:rPr>
          <w:color w:val="auto"/>
        </w:rPr>
        <w:t>Opportunities for Engagement: College and University Strategic P</w:t>
      </w:r>
      <w:r w:rsidR="007577FA" w:rsidRPr="00122BE4">
        <w:rPr>
          <w:color w:val="auto"/>
        </w:rPr>
        <w:t>lans</w:t>
      </w:r>
      <w:bookmarkEnd w:id="49"/>
      <w:bookmarkEnd w:id="50"/>
      <w:bookmarkEnd w:id="51"/>
      <w:bookmarkEnd w:id="52"/>
    </w:p>
    <w:p w14:paraId="7CA0680F" w14:textId="2ABCB266" w:rsidR="00033E24" w:rsidRPr="00A15111" w:rsidRDefault="005E4F8B" w:rsidP="001837CA">
      <w:r w:rsidRPr="00A15111">
        <w:t>College and university strategic plans focus on institutional priorities, largely related to academic and research excellence, the student experience, financial sustainability, community engagement and in a number cases, internationalization.</w:t>
      </w:r>
      <w:r w:rsidR="001837CA" w:rsidRPr="00A15111">
        <w:t xml:space="preserve"> The review of strategic plans focused on identifying key priorities related to international cooperation and opportunities for community engagement.</w:t>
      </w:r>
      <w:r w:rsidRPr="00A15111">
        <w:t xml:space="preserve"> </w:t>
      </w:r>
      <w:r w:rsidR="001837CA" w:rsidRPr="00A15111">
        <w:t xml:space="preserve">Table 5 provides an overview of relevant college and university priorities in relation to </w:t>
      </w:r>
      <w:r w:rsidR="00E63B6B" w:rsidRPr="00A15111">
        <w:t xml:space="preserve">OCIC’s collective impact initiative. </w:t>
      </w:r>
      <w:r w:rsidR="00647977" w:rsidRPr="00A15111">
        <w:t>In terms of the university colleges examined, U</w:t>
      </w:r>
      <w:r w:rsidR="00942EF5" w:rsidRPr="00A15111">
        <w:t>niversity College Brescia (UWO)</w:t>
      </w:r>
      <w:r w:rsidR="00647977" w:rsidRPr="00A15111">
        <w:t xml:space="preserve"> highlights the promotion of community leadership locally and globally and community relations as priority areas. </w:t>
      </w:r>
      <w:r w:rsidR="00AC1875" w:rsidRPr="00A15111">
        <w:t xml:space="preserve">Glendon College (York) is developing a new academic plan. The 2010-2015 plan included reference to furthering francophone research networks and the importance of enhanced volunteer and internship opportunities for students. </w:t>
      </w:r>
      <w:r w:rsidR="00647977" w:rsidRPr="00A15111">
        <w:t xml:space="preserve"> </w:t>
      </w:r>
    </w:p>
    <w:p w14:paraId="6029BA5E" w14:textId="37A5B19D" w:rsidR="00E63B6B" w:rsidRPr="00A15111" w:rsidRDefault="00E63B6B" w:rsidP="00E63B6B">
      <w:r w:rsidRPr="00A15111">
        <w:t xml:space="preserve">Table 5 shows that Ontario colleges and universities share a number of priorities. Twelve of the 14 colleges and 13 of the 15 universities examined aim to partner more with local stakeholders. Increased partnerships with international stakeholders appear to be less of a priority for colleges with only four stating this objective. Nine universities stated that were looking to increase partnerships internationally. Ten colleges and 11 universities are prioritizing the expansion of experiential learning opportunities for students. </w:t>
      </w:r>
    </w:p>
    <w:p w14:paraId="22A77CD9" w14:textId="77777777" w:rsidR="00E63B6B" w:rsidRPr="00A15111" w:rsidRDefault="00E63B6B" w:rsidP="001837CA">
      <w:pPr>
        <w:sectPr w:rsidR="00E63B6B" w:rsidRPr="00A15111" w:rsidSect="00716D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0"/>
          <w:cols w:space="708"/>
          <w:titlePg/>
          <w:docGrid w:linePitch="360"/>
        </w:sectPr>
      </w:pPr>
    </w:p>
    <w:p w14:paraId="30C4F020" w14:textId="77777777" w:rsidR="001837CA" w:rsidRPr="00A15111" w:rsidRDefault="001837CA" w:rsidP="001837CA"/>
    <w:tbl>
      <w:tblPr>
        <w:tblStyle w:val="TableGrid"/>
        <w:tblW w:w="0" w:type="auto"/>
        <w:tblInd w:w="-113" w:type="dxa"/>
        <w:tblLook w:val="04A0" w:firstRow="1" w:lastRow="0" w:firstColumn="1" w:lastColumn="0" w:noHBand="0" w:noVBand="1"/>
      </w:tblPr>
      <w:tblGrid>
        <w:gridCol w:w="3415"/>
        <w:gridCol w:w="2352"/>
        <w:gridCol w:w="2565"/>
        <w:gridCol w:w="2341"/>
        <w:gridCol w:w="2390"/>
      </w:tblGrid>
      <w:tr w:rsidR="001837CA" w:rsidRPr="00A15111" w14:paraId="4D6BD832" w14:textId="77777777" w:rsidTr="00716DFE">
        <w:trPr>
          <w:tblHeader/>
        </w:trPr>
        <w:tc>
          <w:tcPr>
            <w:tcW w:w="12502" w:type="dxa"/>
            <w:gridSpan w:val="5"/>
            <w:shd w:val="clear" w:color="auto" w:fill="008D7F"/>
          </w:tcPr>
          <w:p w14:paraId="0E3CCC07" w14:textId="36473910" w:rsidR="001837CA" w:rsidRPr="00A15111" w:rsidRDefault="00942EF5" w:rsidP="001837CA">
            <w:pPr>
              <w:rPr>
                <w:b/>
                <w:color w:val="FFFFFF" w:themeColor="background1"/>
              </w:rPr>
            </w:pPr>
            <w:r w:rsidRPr="00A15111">
              <w:rPr>
                <w:b/>
                <w:color w:val="FFFFFF" w:themeColor="background1"/>
              </w:rPr>
              <w:t>Table 5. College and University Priorities Relevant for Pursuing Collective Impact on Sustainable D</w:t>
            </w:r>
            <w:r w:rsidR="001837CA" w:rsidRPr="00A15111">
              <w:rPr>
                <w:b/>
                <w:color w:val="FFFFFF" w:themeColor="background1"/>
              </w:rPr>
              <w:t xml:space="preserve">evelopment in Ontario </w:t>
            </w:r>
          </w:p>
        </w:tc>
      </w:tr>
      <w:tr w:rsidR="00033E24" w:rsidRPr="00A15111" w14:paraId="63FE09F6" w14:textId="77777777" w:rsidTr="00716DFE">
        <w:tc>
          <w:tcPr>
            <w:tcW w:w="0" w:type="auto"/>
            <w:shd w:val="clear" w:color="auto" w:fill="008D7F"/>
          </w:tcPr>
          <w:p w14:paraId="3D51E416" w14:textId="7C615014" w:rsidR="00033E24" w:rsidRPr="00A15111" w:rsidRDefault="00942EF5" w:rsidP="001837CA">
            <w:pPr>
              <w:rPr>
                <w:color w:val="FFFFFF" w:themeColor="background1"/>
              </w:rPr>
            </w:pPr>
            <w:r w:rsidRPr="00A15111">
              <w:rPr>
                <w:color w:val="FFFFFF" w:themeColor="background1"/>
              </w:rPr>
              <w:t>Priority in Strategic P</w:t>
            </w:r>
            <w:r w:rsidR="00033E24" w:rsidRPr="00A15111">
              <w:rPr>
                <w:color w:val="FFFFFF" w:themeColor="background1"/>
              </w:rPr>
              <w:t xml:space="preserve">lan </w:t>
            </w:r>
          </w:p>
        </w:tc>
        <w:tc>
          <w:tcPr>
            <w:tcW w:w="4132" w:type="dxa"/>
            <w:gridSpan w:val="2"/>
            <w:shd w:val="clear" w:color="auto" w:fill="008D7F"/>
          </w:tcPr>
          <w:p w14:paraId="09A7E561" w14:textId="77777777" w:rsidR="00033E24" w:rsidRPr="00A15111" w:rsidRDefault="00033E24" w:rsidP="00033E24">
            <w:pPr>
              <w:rPr>
                <w:color w:val="FFFFFF" w:themeColor="background1"/>
              </w:rPr>
            </w:pPr>
            <w:r w:rsidRPr="00A15111">
              <w:rPr>
                <w:color w:val="FFFFFF" w:themeColor="background1"/>
              </w:rPr>
              <w:t xml:space="preserve">Colleges </w:t>
            </w:r>
          </w:p>
        </w:tc>
        <w:tc>
          <w:tcPr>
            <w:tcW w:w="0" w:type="auto"/>
            <w:gridSpan w:val="2"/>
            <w:shd w:val="clear" w:color="auto" w:fill="008D7F"/>
          </w:tcPr>
          <w:p w14:paraId="0917755C" w14:textId="77777777" w:rsidR="00033E24" w:rsidRPr="00A15111" w:rsidRDefault="00033E24" w:rsidP="00033E24">
            <w:pPr>
              <w:rPr>
                <w:color w:val="FFFFFF" w:themeColor="background1"/>
              </w:rPr>
            </w:pPr>
            <w:r w:rsidRPr="00A15111">
              <w:rPr>
                <w:color w:val="FFFFFF" w:themeColor="background1"/>
              </w:rPr>
              <w:t>Universities</w:t>
            </w:r>
          </w:p>
        </w:tc>
      </w:tr>
      <w:tr w:rsidR="00033E24" w:rsidRPr="00A15111" w14:paraId="504B1A4F" w14:textId="77777777" w:rsidTr="00033E24">
        <w:tc>
          <w:tcPr>
            <w:tcW w:w="0" w:type="auto"/>
          </w:tcPr>
          <w:p w14:paraId="23D0FD68" w14:textId="77777777" w:rsidR="00033E24" w:rsidRPr="00A15111" w:rsidRDefault="00033E24" w:rsidP="001837CA">
            <w:r w:rsidRPr="00A15111">
              <w:t>Internationalization of curriculum, including integrating global perspectives</w:t>
            </w:r>
          </w:p>
        </w:tc>
        <w:tc>
          <w:tcPr>
            <w:tcW w:w="4132" w:type="dxa"/>
            <w:gridSpan w:val="2"/>
          </w:tcPr>
          <w:p w14:paraId="23964CDC" w14:textId="77777777" w:rsidR="00033E24" w:rsidRPr="00A15111" w:rsidRDefault="00033E24" w:rsidP="00033E24">
            <w:pPr>
              <w:pStyle w:val="ListParagraph"/>
              <w:numPr>
                <w:ilvl w:val="0"/>
                <w:numId w:val="21"/>
              </w:numPr>
              <w:ind w:left="386"/>
            </w:pPr>
            <w:r w:rsidRPr="00A15111">
              <w:t>Centennial College of Applied Arts and Technology</w:t>
            </w:r>
          </w:p>
          <w:p w14:paraId="580F51BD" w14:textId="77777777" w:rsidR="00033E24" w:rsidRPr="00A15111" w:rsidRDefault="00033E24" w:rsidP="00033E24">
            <w:pPr>
              <w:pStyle w:val="ListParagraph"/>
              <w:numPr>
                <w:ilvl w:val="0"/>
                <w:numId w:val="21"/>
              </w:numPr>
              <w:ind w:left="386"/>
            </w:pPr>
            <w:r w:rsidRPr="00A15111">
              <w:t xml:space="preserve">Fleming College </w:t>
            </w:r>
          </w:p>
          <w:p w14:paraId="5EBF93E1" w14:textId="77777777" w:rsidR="00033E24" w:rsidRPr="00A15111" w:rsidRDefault="00033E24" w:rsidP="00033E24">
            <w:pPr>
              <w:pStyle w:val="ListParagraph"/>
              <w:numPr>
                <w:ilvl w:val="0"/>
                <w:numId w:val="21"/>
              </w:numPr>
              <w:ind w:left="386"/>
            </w:pPr>
            <w:r w:rsidRPr="00A15111">
              <w:t>Humber College</w:t>
            </w:r>
          </w:p>
          <w:p w14:paraId="7698FEDE" w14:textId="77777777" w:rsidR="00033E24" w:rsidRPr="00A15111" w:rsidRDefault="00033E24" w:rsidP="00033E24">
            <w:pPr>
              <w:pStyle w:val="ListParagraph"/>
              <w:numPr>
                <w:ilvl w:val="0"/>
                <w:numId w:val="21"/>
              </w:numPr>
              <w:ind w:left="386"/>
            </w:pPr>
            <w:r w:rsidRPr="00A15111">
              <w:t xml:space="preserve">Seneca College </w:t>
            </w:r>
          </w:p>
          <w:p w14:paraId="66768C92" w14:textId="77777777" w:rsidR="00033E24" w:rsidRPr="00A15111" w:rsidRDefault="00033E24" w:rsidP="00033E24">
            <w:pPr>
              <w:pStyle w:val="ListParagraph"/>
              <w:numPr>
                <w:ilvl w:val="0"/>
                <w:numId w:val="21"/>
              </w:numPr>
              <w:ind w:left="386"/>
            </w:pPr>
            <w:r w:rsidRPr="00A15111">
              <w:t xml:space="preserve">St. Lawrence College </w:t>
            </w:r>
          </w:p>
        </w:tc>
        <w:tc>
          <w:tcPr>
            <w:tcW w:w="0" w:type="auto"/>
            <w:gridSpan w:val="2"/>
          </w:tcPr>
          <w:p w14:paraId="6CFBBC0A" w14:textId="77777777" w:rsidR="00033E24" w:rsidRPr="00A15111" w:rsidRDefault="00033E24" w:rsidP="00033E24">
            <w:pPr>
              <w:pStyle w:val="ListParagraph"/>
              <w:numPr>
                <w:ilvl w:val="0"/>
                <w:numId w:val="21"/>
              </w:numPr>
              <w:ind w:left="342"/>
            </w:pPr>
            <w:r w:rsidRPr="00A15111">
              <w:t xml:space="preserve">Carleton University </w:t>
            </w:r>
          </w:p>
          <w:p w14:paraId="1069C745" w14:textId="77777777" w:rsidR="00033E24" w:rsidRPr="00A15111" w:rsidRDefault="00033E24" w:rsidP="00033E24">
            <w:pPr>
              <w:pStyle w:val="ListParagraph"/>
              <w:numPr>
                <w:ilvl w:val="0"/>
                <w:numId w:val="21"/>
              </w:numPr>
              <w:ind w:left="342"/>
            </w:pPr>
            <w:r w:rsidRPr="00A15111">
              <w:t xml:space="preserve">Queen’s University </w:t>
            </w:r>
          </w:p>
          <w:p w14:paraId="450E4A74" w14:textId="77777777" w:rsidR="00033E24" w:rsidRPr="00A15111" w:rsidRDefault="00033E24" w:rsidP="00033E24"/>
        </w:tc>
      </w:tr>
      <w:tr w:rsidR="00033E24" w:rsidRPr="00A15111" w14:paraId="7FFC92C2" w14:textId="77777777" w:rsidTr="00033E24">
        <w:trPr>
          <w:trHeight w:val="1189"/>
        </w:trPr>
        <w:tc>
          <w:tcPr>
            <w:tcW w:w="0" w:type="auto"/>
          </w:tcPr>
          <w:p w14:paraId="6C3D1E31" w14:textId="7E887433" w:rsidR="008604BB" w:rsidRPr="00A15111" w:rsidRDefault="00942EF5" w:rsidP="008604BB">
            <w:r w:rsidRPr="00A15111">
              <w:t>Increase internationally-</w:t>
            </w:r>
            <w:r w:rsidR="008604BB" w:rsidRPr="00A15111">
              <w:t xml:space="preserve">oriented research / worldwide impact of research </w:t>
            </w:r>
          </w:p>
        </w:tc>
        <w:tc>
          <w:tcPr>
            <w:tcW w:w="4132" w:type="dxa"/>
            <w:gridSpan w:val="2"/>
          </w:tcPr>
          <w:p w14:paraId="7FBC214D" w14:textId="77777777" w:rsidR="008604BB" w:rsidRPr="00A15111" w:rsidRDefault="008604BB" w:rsidP="00033E24"/>
        </w:tc>
        <w:tc>
          <w:tcPr>
            <w:tcW w:w="0" w:type="auto"/>
            <w:gridSpan w:val="2"/>
          </w:tcPr>
          <w:p w14:paraId="6F568F90" w14:textId="77777777" w:rsidR="00AC1875" w:rsidRPr="00A15111" w:rsidRDefault="00AC1875" w:rsidP="00033E24">
            <w:pPr>
              <w:pStyle w:val="ListParagraph"/>
              <w:numPr>
                <w:ilvl w:val="0"/>
                <w:numId w:val="21"/>
              </w:numPr>
              <w:ind w:left="342"/>
            </w:pPr>
            <w:r w:rsidRPr="00A15111">
              <w:t xml:space="preserve">Carleton University </w:t>
            </w:r>
          </w:p>
          <w:p w14:paraId="66CE8C9C" w14:textId="77777777" w:rsidR="008604BB" w:rsidRPr="00A15111" w:rsidRDefault="008604BB" w:rsidP="00033E24">
            <w:pPr>
              <w:pStyle w:val="ListParagraph"/>
              <w:numPr>
                <w:ilvl w:val="0"/>
                <w:numId w:val="21"/>
              </w:numPr>
              <w:ind w:left="342"/>
            </w:pPr>
            <w:r w:rsidRPr="00A15111">
              <w:t xml:space="preserve">University of Guelph </w:t>
            </w:r>
          </w:p>
          <w:p w14:paraId="1CF51BE8" w14:textId="77777777" w:rsidR="008604BB" w:rsidRPr="00A15111" w:rsidRDefault="008604BB" w:rsidP="00033E24">
            <w:pPr>
              <w:pStyle w:val="ListParagraph"/>
              <w:numPr>
                <w:ilvl w:val="0"/>
                <w:numId w:val="21"/>
              </w:numPr>
              <w:ind w:left="342"/>
            </w:pPr>
            <w:r w:rsidRPr="00A15111">
              <w:t xml:space="preserve">University of Waterloo </w:t>
            </w:r>
          </w:p>
          <w:p w14:paraId="023C67F4" w14:textId="77777777" w:rsidR="001220CB" w:rsidRPr="00A15111" w:rsidRDefault="001220CB" w:rsidP="00033E24">
            <w:pPr>
              <w:pStyle w:val="ListParagraph"/>
              <w:numPr>
                <w:ilvl w:val="0"/>
                <w:numId w:val="21"/>
              </w:numPr>
              <w:ind w:left="342"/>
            </w:pPr>
            <w:r w:rsidRPr="00A15111">
              <w:t>University of Western Ontario</w:t>
            </w:r>
          </w:p>
          <w:p w14:paraId="626CB8DB" w14:textId="77777777" w:rsidR="00647977" w:rsidRPr="00A15111" w:rsidRDefault="00647977" w:rsidP="00033E24">
            <w:pPr>
              <w:pStyle w:val="ListParagraph"/>
              <w:numPr>
                <w:ilvl w:val="0"/>
                <w:numId w:val="21"/>
              </w:numPr>
              <w:ind w:left="342"/>
            </w:pPr>
            <w:r w:rsidRPr="00A15111">
              <w:t xml:space="preserve">York University </w:t>
            </w:r>
          </w:p>
        </w:tc>
      </w:tr>
      <w:tr w:rsidR="00033E24" w:rsidRPr="00A15111" w14:paraId="7ECC712C" w14:textId="77777777" w:rsidTr="00033E24">
        <w:tc>
          <w:tcPr>
            <w:tcW w:w="0" w:type="auto"/>
          </w:tcPr>
          <w:p w14:paraId="17970E38" w14:textId="77777777" w:rsidR="00033E24" w:rsidRPr="00A15111" w:rsidRDefault="00033E24" w:rsidP="001837CA">
            <w:r w:rsidRPr="00A15111">
              <w:t>Increase opportunities for experiential learning</w:t>
            </w:r>
          </w:p>
        </w:tc>
        <w:tc>
          <w:tcPr>
            <w:tcW w:w="2352" w:type="dxa"/>
            <w:tcBorders>
              <w:right w:val="nil"/>
            </w:tcBorders>
          </w:tcPr>
          <w:p w14:paraId="190949FF" w14:textId="77777777" w:rsidR="00033E24" w:rsidRPr="00A15111" w:rsidRDefault="00033E24" w:rsidP="00033E24">
            <w:pPr>
              <w:pStyle w:val="ListParagraph"/>
              <w:numPr>
                <w:ilvl w:val="0"/>
                <w:numId w:val="21"/>
              </w:numPr>
              <w:ind w:left="386"/>
            </w:pPr>
            <w:r w:rsidRPr="00A15111">
              <w:t>Algonquin College</w:t>
            </w:r>
          </w:p>
          <w:p w14:paraId="14687256" w14:textId="77777777" w:rsidR="00033E24" w:rsidRPr="00A15111" w:rsidRDefault="00033E24" w:rsidP="00033E24">
            <w:pPr>
              <w:pStyle w:val="ListParagraph"/>
              <w:numPr>
                <w:ilvl w:val="0"/>
                <w:numId w:val="21"/>
              </w:numPr>
              <w:ind w:left="386"/>
            </w:pPr>
            <w:r w:rsidRPr="00A15111">
              <w:t>Centennial College of Applied Arts and Technology</w:t>
            </w:r>
          </w:p>
          <w:p w14:paraId="05F717A6" w14:textId="77777777" w:rsidR="00033E24" w:rsidRPr="00A15111" w:rsidRDefault="00033E24" w:rsidP="00033E24">
            <w:pPr>
              <w:pStyle w:val="ListParagraph"/>
              <w:numPr>
                <w:ilvl w:val="0"/>
                <w:numId w:val="21"/>
              </w:numPr>
              <w:ind w:left="386"/>
            </w:pPr>
            <w:r w:rsidRPr="00A15111">
              <w:t>Confederation College</w:t>
            </w:r>
          </w:p>
          <w:p w14:paraId="7352FCF0" w14:textId="77777777" w:rsidR="00033E24" w:rsidRPr="00A15111" w:rsidRDefault="00033E24" w:rsidP="00033E24">
            <w:pPr>
              <w:pStyle w:val="ListParagraph"/>
              <w:numPr>
                <w:ilvl w:val="0"/>
                <w:numId w:val="21"/>
              </w:numPr>
              <w:ind w:left="386"/>
            </w:pPr>
            <w:r w:rsidRPr="00A15111">
              <w:t xml:space="preserve">Conestoga College </w:t>
            </w:r>
          </w:p>
          <w:p w14:paraId="51BE87E2" w14:textId="77777777" w:rsidR="00033E24" w:rsidRPr="00A15111" w:rsidRDefault="00033E24" w:rsidP="00033E24">
            <w:pPr>
              <w:pStyle w:val="ListParagraph"/>
              <w:numPr>
                <w:ilvl w:val="0"/>
                <w:numId w:val="21"/>
              </w:numPr>
              <w:ind w:left="386"/>
            </w:pPr>
            <w:r w:rsidRPr="00A15111">
              <w:t>Fleming College</w:t>
            </w:r>
          </w:p>
        </w:tc>
        <w:tc>
          <w:tcPr>
            <w:tcW w:w="0" w:type="auto"/>
            <w:tcBorders>
              <w:left w:val="nil"/>
              <w:bottom w:val="single" w:sz="4" w:space="0" w:color="auto"/>
            </w:tcBorders>
          </w:tcPr>
          <w:p w14:paraId="156FDD51" w14:textId="77777777" w:rsidR="00033E24" w:rsidRPr="00A15111" w:rsidRDefault="00033E24" w:rsidP="00033E24">
            <w:pPr>
              <w:pStyle w:val="ListParagraph"/>
              <w:numPr>
                <w:ilvl w:val="0"/>
                <w:numId w:val="21"/>
              </w:numPr>
              <w:ind w:left="386"/>
            </w:pPr>
            <w:r w:rsidRPr="00A15111">
              <w:t xml:space="preserve">Humber College </w:t>
            </w:r>
          </w:p>
          <w:p w14:paraId="7F8A3BB2" w14:textId="77777777" w:rsidR="00033E24" w:rsidRPr="00A15111" w:rsidRDefault="00033E24" w:rsidP="00033E24">
            <w:pPr>
              <w:pStyle w:val="ListParagraph"/>
              <w:numPr>
                <w:ilvl w:val="0"/>
                <w:numId w:val="21"/>
              </w:numPr>
              <w:ind w:left="386"/>
            </w:pPr>
            <w:r w:rsidRPr="00A15111">
              <w:t xml:space="preserve">Seneca College </w:t>
            </w:r>
          </w:p>
          <w:p w14:paraId="7521229B" w14:textId="77777777" w:rsidR="00033E24" w:rsidRPr="00A15111" w:rsidRDefault="00033E24" w:rsidP="00033E24">
            <w:pPr>
              <w:pStyle w:val="ListParagraph"/>
              <w:numPr>
                <w:ilvl w:val="0"/>
                <w:numId w:val="21"/>
              </w:numPr>
              <w:ind w:left="386"/>
            </w:pPr>
            <w:r w:rsidRPr="00A15111">
              <w:t xml:space="preserve">St. Clair College </w:t>
            </w:r>
          </w:p>
          <w:p w14:paraId="133999C2" w14:textId="77777777" w:rsidR="00033E24" w:rsidRPr="00A15111" w:rsidRDefault="00033E24" w:rsidP="00033E24">
            <w:pPr>
              <w:pStyle w:val="ListParagraph"/>
              <w:numPr>
                <w:ilvl w:val="0"/>
                <w:numId w:val="21"/>
              </w:numPr>
              <w:ind w:left="386"/>
            </w:pPr>
            <w:r w:rsidRPr="00A15111">
              <w:t>St. Lawrence College</w:t>
            </w:r>
          </w:p>
        </w:tc>
        <w:tc>
          <w:tcPr>
            <w:tcW w:w="0" w:type="auto"/>
            <w:tcBorders>
              <w:right w:val="nil"/>
            </w:tcBorders>
          </w:tcPr>
          <w:p w14:paraId="23CC6E49" w14:textId="77777777" w:rsidR="00033E24" w:rsidRPr="00A15111" w:rsidRDefault="00033E24" w:rsidP="00033E24">
            <w:pPr>
              <w:pStyle w:val="ListParagraph"/>
              <w:numPr>
                <w:ilvl w:val="0"/>
                <w:numId w:val="21"/>
              </w:numPr>
              <w:ind w:left="342"/>
            </w:pPr>
            <w:r w:rsidRPr="00A15111">
              <w:t xml:space="preserve">Carleton University </w:t>
            </w:r>
          </w:p>
          <w:p w14:paraId="74AFB2F2" w14:textId="77777777" w:rsidR="00033E24" w:rsidRPr="00A15111" w:rsidRDefault="00033E24" w:rsidP="00033E24">
            <w:pPr>
              <w:pStyle w:val="ListParagraph"/>
              <w:numPr>
                <w:ilvl w:val="0"/>
                <w:numId w:val="21"/>
              </w:numPr>
              <w:ind w:left="342"/>
            </w:pPr>
            <w:r w:rsidRPr="00A15111">
              <w:t>Ontario College of Art and Design</w:t>
            </w:r>
          </w:p>
          <w:p w14:paraId="1370D23F" w14:textId="77777777" w:rsidR="00033E24" w:rsidRPr="00A15111" w:rsidRDefault="00033E24" w:rsidP="00033E24">
            <w:pPr>
              <w:pStyle w:val="ListParagraph"/>
              <w:numPr>
                <w:ilvl w:val="0"/>
                <w:numId w:val="21"/>
              </w:numPr>
              <w:ind w:left="342"/>
            </w:pPr>
            <w:r w:rsidRPr="00A15111">
              <w:t xml:space="preserve">Queen’s University </w:t>
            </w:r>
          </w:p>
          <w:p w14:paraId="6A3E76C1" w14:textId="77777777" w:rsidR="00033E24" w:rsidRPr="00A15111" w:rsidRDefault="00033E24" w:rsidP="00033E24">
            <w:pPr>
              <w:pStyle w:val="ListParagraph"/>
              <w:numPr>
                <w:ilvl w:val="0"/>
                <w:numId w:val="21"/>
              </w:numPr>
              <w:ind w:left="342"/>
            </w:pPr>
            <w:r w:rsidRPr="00A15111">
              <w:t xml:space="preserve">Ryerson University </w:t>
            </w:r>
          </w:p>
          <w:p w14:paraId="795EA8F8" w14:textId="77777777" w:rsidR="00033E24" w:rsidRPr="00A15111" w:rsidRDefault="00033E24" w:rsidP="00033E24">
            <w:pPr>
              <w:pStyle w:val="ListParagraph"/>
              <w:numPr>
                <w:ilvl w:val="0"/>
                <w:numId w:val="21"/>
              </w:numPr>
              <w:ind w:left="342"/>
            </w:pPr>
            <w:r w:rsidRPr="00A15111">
              <w:t xml:space="preserve">University of Guelph </w:t>
            </w:r>
          </w:p>
          <w:p w14:paraId="3F8530A6" w14:textId="77777777" w:rsidR="00033E24" w:rsidRPr="00A15111" w:rsidRDefault="00033E24" w:rsidP="00033E24">
            <w:pPr>
              <w:pStyle w:val="ListParagraph"/>
              <w:numPr>
                <w:ilvl w:val="0"/>
                <w:numId w:val="21"/>
              </w:numPr>
              <w:ind w:left="342"/>
            </w:pPr>
            <w:r w:rsidRPr="00A15111">
              <w:t>University of Toronto – Scarborough</w:t>
            </w:r>
          </w:p>
        </w:tc>
        <w:tc>
          <w:tcPr>
            <w:tcW w:w="0" w:type="auto"/>
            <w:tcBorders>
              <w:left w:val="nil"/>
              <w:bottom w:val="single" w:sz="4" w:space="0" w:color="auto"/>
            </w:tcBorders>
          </w:tcPr>
          <w:p w14:paraId="73A82233" w14:textId="77777777" w:rsidR="00033E24" w:rsidRPr="00A15111" w:rsidRDefault="00033E24" w:rsidP="00033E24">
            <w:pPr>
              <w:pStyle w:val="ListParagraph"/>
              <w:numPr>
                <w:ilvl w:val="0"/>
                <w:numId w:val="21"/>
              </w:numPr>
              <w:ind w:left="342"/>
            </w:pPr>
            <w:r w:rsidRPr="00A15111">
              <w:t xml:space="preserve">University of Waterloo </w:t>
            </w:r>
          </w:p>
          <w:p w14:paraId="1434ECD3" w14:textId="77777777" w:rsidR="00033E24" w:rsidRPr="00A15111" w:rsidRDefault="00033E24" w:rsidP="00033E24">
            <w:pPr>
              <w:pStyle w:val="ListParagraph"/>
              <w:numPr>
                <w:ilvl w:val="0"/>
                <w:numId w:val="21"/>
              </w:numPr>
              <w:ind w:left="342"/>
            </w:pPr>
            <w:r w:rsidRPr="00A15111">
              <w:t>University of Western Ontario</w:t>
            </w:r>
          </w:p>
          <w:p w14:paraId="4D6E1C84" w14:textId="77777777" w:rsidR="00033E24" w:rsidRPr="00A15111" w:rsidRDefault="00033E24" w:rsidP="00033E24">
            <w:pPr>
              <w:pStyle w:val="ListParagraph"/>
              <w:numPr>
                <w:ilvl w:val="0"/>
                <w:numId w:val="21"/>
              </w:numPr>
              <w:ind w:left="342"/>
            </w:pPr>
            <w:r w:rsidRPr="00A15111">
              <w:t xml:space="preserve">University of Windsor </w:t>
            </w:r>
          </w:p>
          <w:p w14:paraId="1448C0D5" w14:textId="77777777" w:rsidR="00033E24" w:rsidRPr="00A15111" w:rsidRDefault="00033E24" w:rsidP="00033E24">
            <w:pPr>
              <w:pStyle w:val="ListParagraph"/>
              <w:numPr>
                <w:ilvl w:val="0"/>
                <w:numId w:val="21"/>
              </w:numPr>
              <w:ind w:left="342"/>
            </w:pPr>
            <w:r w:rsidRPr="00A15111">
              <w:t xml:space="preserve">Wilfrid Laurier University </w:t>
            </w:r>
          </w:p>
          <w:p w14:paraId="461A6CCB" w14:textId="77777777" w:rsidR="00033E24" w:rsidRPr="00A15111" w:rsidRDefault="00033E24" w:rsidP="00033E24">
            <w:pPr>
              <w:pStyle w:val="ListParagraph"/>
              <w:numPr>
                <w:ilvl w:val="0"/>
                <w:numId w:val="21"/>
              </w:numPr>
              <w:ind w:left="342"/>
            </w:pPr>
            <w:r w:rsidRPr="00A15111">
              <w:t xml:space="preserve">York University </w:t>
            </w:r>
          </w:p>
        </w:tc>
      </w:tr>
      <w:tr w:rsidR="00033E24" w:rsidRPr="00A15111" w14:paraId="549FF985" w14:textId="77777777" w:rsidTr="00033E24">
        <w:tc>
          <w:tcPr>
            <w:tcW w:w="0" w:type="auto"/>
          </w:tcPr>
          <w:p w14:paraId="041EA57E" w14:textId="77777777" w:rsidR="00033E24" w:rsidRPr="00A15111" w:rsidRDefault="00033E24" w:rsidP="001837CA">
            <w:r w:rsidRPr="00A15111">
              <w:t>Increase partnerships with local stakeholders</w:t>
            </w:r>
          </w:p>
        </w:tc>
        <w:tc>
          <w:tcPr>
            <w:tcW w:w="2352" w:type="dxa"/>
            <w:tcBorders>
              <w:right w:val="nil"/>
            </w:tcBorders>
          </w:tcPr>
          <w:p w14:paraId="26BF73AB" w14:textId="77777777" w:rsidR="00033E24" w:rsidRPr="00A15111" w:rsidRDefault="00033E24" w:rsidP="00033E24">
            <w:pPr>
              <w:pStyle w:val="ListParagraph"/>
              <w:numPr>
                <w:ilvl w:val="0"/>
                <w:numId w:val="21"/>
              </w:numPr>
              <w:ind w:left="373"/>
            </w:pPr>
            <w:r w:rsidRPr="00A15111">
              <w:t xml:space="preserve">Cambrian College </w:t>
            </w:r>
          </w:p>
          <w:p w14:paraId="19C536FF" w14:textId="77777777" w:rsidR="00033E24" w:rsidRPr="00A15111" w:rsidRDefault="00033E24" w:rsidP="00033E24">
            <w:pPr>
              <w:pStyle w:val="ListParagraph"/>
              <w:numPr>
                <w:ilvl w:val="0"/>
                <w:numId w:val="21"/>
              </w:numPr>
              <w:ind w:left="373"/>
            </w:pPr>
            <w:r w:rsidRPr="00A15111">
              <w:t>Centennial College of Applied Arts and Technology</w:t>
            </w:r>
          </w:p>
          <w:p w14:paraId="3DDBA03D" w14:textId="77777777" w:rsidR="00033E24" w:rsidRPr="00A15111" w:rsidRDefault="00033E24" w:rsidP="00033E24">
            <w:pPr>
              <w:pStyle w:val="ListParagraph"/>
              <w:numPr>
                <w:ilvl w:val="0"/>
                <w:numId w:val="21"/>
              </w:numPr>
              <w:ind w:left="373"/>
            </w:pPr>
            <w:r w:rsidRPr="00A15111">
              <w:t>Cité collégiale</w:t>
            </w:r>
          </w:p>
          <w:p w14:paraId="2D9F2891" w14:textId="77777777" w:rsidR="00033E24" w:rsidRPr="00A15111" w:rsidRDefault="00033E24" w:rsidP="00033E24">
            <w:pPr>
              <w:pStyle w:val="ListParagraph"/>
              <w:numPr>
                <w:ilvl w:val="0"/>
                <w:numId w:val="21"/>
              </w:numPr>
              <w:ind w:left="373"/>
            </w:pPr>
            <w:r w:rsidRPr="00A15111">
              <w:t>Collège Boréal</w:t>
            </w:r>
          </w:p>
          <w:p w14:paraId="4DE40570" w14:textId="77777777" w:rsidR="00033E24" w:rsidRPr="00A15111" w:rsidRDefault="00033E24" w:rsidP="00033E24">
            <w:pPr>
              <w:pStyle w:val="ListParagraph"/>
              <w:numPr>
                <w:ilvl w:val="0"/>
                <w:numId w:val="21"/>
              </w:numPr>
              <w:ind w:left="373"/>
            </w:pPr>
            <w:r w:rsidRPr="00A15111">
              <w:lastRenderedPageBreak/>
              <w:t>Confederation College</w:t>
            </w:r>
            <w:r w:rsidRPr="00A15111">
              <w:rPr>
                <w:rStyle w:val="FootnoteReference"/>
              </w:rPr>
              <w:footnoteReference w:id="10"/>
            </w:r>
          </w:p>
          <w:p w14:paraId="3FB16D75" w14:textId="77777777" w:rsidR="00033E24" w:rsidRPr="00A15111" w:rsidRDefault="00033E24" w:rsidP="00033E24">
            <w:pPr>
              <w:pStyle w:val="ListParagraph"/>
              <w:numPr>
                <w:ilvl w:val="0"/>
                <w:numId w:val="21"/>
              </w:numPr>
              <w:ind w:left="373"/>
            </w:pPr>
            <w:r w:rsidRPr="00A15111">
              <w:t xml:space="preserve">Conestoga College </w:t>
            </w:r>
          </w:p>
        </w:tc>
        <w:tc>
          <w:tcPr>
            <w:tcW w:w="0" w:type="auto"/>
            <w:tcBorders>
              <w:left w:val="nil"/>
            </w:tcBorders>
          </w:tcPr>
          <w:p w14:paraId="14C0FE31" w14:textId="77777777" w:rsidR="00033E24" w:rsidRPr="00A15111" w:rsidRDefault="00033E24" w:rsidP="00033E24">
            <w:pPr>
              <w:pStyle w:val="ListParagraph"/>
              <w:numPr>
                <w:ilvl w:val="0"/>
                <w:numId w:val="21"/>
              </w:numPr>
              <w:ind w:left="373"/>
            </w:pPr>
            <w:r w:rsidRPr="00A15111">
              <w:lastRenderedPageBreak/>
              <w:t xml:space="preserve">Fleming College </w:t>
            </w:r>
          </w:p>
          <w:p w14:paraId="4AE46BBA" w14:textId="77777777" w:rsidR="00033E24" w:rsidRPr="00A15111" w:rsidRDefault="00033E24" w:rsidP="00033E24">
            <w:pPr>
              <w:pStyle w:val="ListParagraph"/>
              <w:numPr>
                <w:ilvl w:val="0"/>
                <w:numId w:val="21"/>
              </w:numPr>
              <w:ind w:left="373"/>
            </w:pPr>
            <w:r w:rsidRPr="00A15111">
              <w:t xml:space="preserve">George Brown College </w:t>
            </w:r>
          </w:p>
          <w:p w14:paraId="380594D0" w14:textId="77777777" w:rsidR="00033E24" w:rsidRPr="00A15111" w:rsidRDefault="00033E24" w:rsidP="00033E24">
            <w:pPr>
              <w:pStyle w:val="ListParagraph"/>
              <w:numPr>
                <w:ilvl w:val="0"/>
                <w:numId w:val="21"/>
              </w:numPr>
              <w:ind w:left="373"/>
            </w:pPr>
            <w:r w:rsidRPr="00A15111">
              <w:t>Humber College</w:t>
            </w:r>
          </w:p>
          <w:p w14:paraId="492ACC06" w14:textId="77777777" w:rsidR="00033E24" w:rsidRPr="00A15111" w:rsidRDefault="00033E24" w:rsidP="00033E24">
            <w:pPr>
              <w:pStyle w:val="ListParagraph"/>
              <w:numPr>
                <w:ilvl w:val="0"/>
                <w:numId w:val="21"/>
              </w:numPr>
              <w:ind w:left="373"/>
            </w:pPr>
            <w:r w:rsidRPr="00A15111">
              <w:t xml:space="preserve">Seneca College </w:t>
            </w:r>
          </w:p>
          <w:p w14:paraId="09E1E191" w14:textId="77777777" w:rsidR="00033E24" w:rsidRPr="00A15111" w:rsidRDefault="00033E24" w:rsidP="00033E24">
            <w:pPr>
              <w:pStyle w:val="ListParagraph"/>
              <w:numPr>
                <w:ilvl w:val="0"/>
                <w:numId w:val="21"/>
              </w:numPr>
              <w:ind w:left="373"/>
            </w:pPr>
            <w:r w:rsidRPr="00A15111">
              <w:t>St. Clair College</w:t>
            </w:r>
          </w:p>
          <w:p w14:paraId="399733EB" w14:textId="77777777" w:rsidR="00033E24" w:rsidRPr="00A15111" w:rsidRDefault="00033E24" w:rsidP="00033E24">
            <w:pPr>
              <w:pStyle w:val="ListParagraph"/>
              <w:numPr>
                <w:ilvl w:val="0"/>
                <w:numId w:val="21"/>
              </w:numPr>
              <w:ind w:left="373"/>
            </w:pPr>
            <w:r w:rsidRPr="00A15111">
              <w:t>St. Lawrence College</w:t>
            </w:r>
          </w:p>
        </w:tc>
        <w:tc>
          <w:tcPr>
            <w:tcW w:w="0" w:type="auto"/>
            <w:tcBorders>
              <w:right w:val="nil"/>
            </w:tcBorders>
          </w:tcPr>
          <w:p w14:paraId="78AF99B5" w14:textId="77777777" w:rsidR="00033E24" w:rsidRPr="00A15111" w:rsidRDefault="00033E24" w:rsidP="00033E24">
            <w:pPr>
              <w:pStyle w:val="ListParagraph"/>
              <w:numPr>
                <w:ilvl w:val="0"/>
                <w:numId w:val="21"/>
              </w:numPr>
              <w:ind w:left="342"/>
            </w:pPr>
            <w:r w:rsidRPr="00A15111">
              <w:t>Carleton University</w:t>
            </w:r>
          </w:p>
          <w:p w14:paraId="03A89EB5" w14:textId="77777777" w:rsidR="00033E24" w:rsidRPr="00A15111" w:rsidRDefault="00033E24" w:rsidP="00033E24">
            <w:pPr>
              <w:pStyle w:val="ListParagraph"/>
              <w:numPr>
                <w:ilvl w:val="0"/>
                <w:numId w:val="21"/>
              </w:numPr>
              <w:ind w:left="342"/>
            </w:pPr>
            <w:r w:rsidRPr="00A15111">
              <w:t xml:space="preserve">Lakehead University </w:t>
            </w:r>
          </w:p>
          <w:p w14:paraId="76DD333B" w14:textId="77777777" w:rsidR="00033E24" w:rsidRPr="00A15111" w:rsidRDefault="00033E24" w:rsidP="00033E24">
            <w:pPr>
              <w:pStyle w:val="ListParagraph"/>
              <w:numPr>
                <w:ilvl w:val="0"/>
                <w:numId w:val="21"/>
              </w:numPr>
              <w:ind w:left="342"/>
            </w:pPr>
            <w:r w:rsidRPr="00A15111">
              <w:t xml:space="preserve">Laurentian University </w:t>
            </w:r>
          </w:p>
          <w:p w14:paraId="1F036874" w14:textId="77777777" w:rsidR="00033E24" w:rsidRPr="00A15111" w:rsidRDefault="00033E24" w:rsidP="00033E24">
            <w:pPr>
              <w:pStyle w:val="ListParagraph"/>
              <w:numPr>
                <w:ilvl w:val="0"/>
                <w:numId w:val="21"/>
              </w:numPr>
              <w:ind w:left="342"/>
            </w:pPr>
            <w:r w:rsidRPr="00A15111">
              <w:t>Ontario College of Art and Design</w:t>
            </w:r>
          </w:p>
          <w:p w14:paraId="60CAF418" w14:textId="77777777" w:rsidR="00033E24" w:rsidRPr="00A15111" w:rsidRDefault="00033E24" w:rsidP="00033E24">
            <w:pPr>
              <w:pStyle w:val="ListParagraph"/>
              <w:numPr>
                <w:ilvl w:val="0"/>
                <w:numId w:val="21"/>
              </w:numPr>
              <w:ind w:left="342"/>
            </w:pPr>
            <w:r w:rsidRPr="00A15111">
              <w:t>Queen’s University</w:t>
            </w:r>
          </w:p>
          <w:p w14:paraId="65032145" w14:textId="77777777" w:rsidR="00033E24" w:rsidRPr="00A15111" w:rsidRDefault="00033E24" w:rsidP="00033E24">
            <w:pPr>
              <w:pStyle w:val="ListParagraph"/>
              <w:numPr>
                <w:ilvl w:val="0"/>
                <w:numId w:val="21"/>
              </w:numPr>
              <w:ind w:left="342"/>
            </w:pPr>
            <w:r w:rsidRPr="00A15111">
              <w:t xml:space="preserve">Ryerson University </w:t>
            </w:r>
          </w:p>
          <w:p w14:paraId="44204B21" w14:textId="77777777" w:rsidR="00033E24" w:rsidRPr="00A15111" w:rsidRDefault="00033E24" w:rsidP="00033E24">
            <w:pPr>
              <w:pStyle w:val="ListParagraph"/>
              <w:numPr>
                <w:ilvl w:val="0"/>
                <w:numId w:val="21"/>
              </w:numPr>
              <w:ind w:left="342"/>
            </w:pPr>
            <w:r w:rsidRPr="00A15111">
              <w:lastRenderedPageBreak/>
              <w:t xml:space="preserve">Trent University </w:t>
            </w:r>
          </w:p>
        </w:tc>
        <w:tc>
          <w:tcPr>
            <w:tcW w:w="0" w:type="auto"/>
            <w:tcBorders>
              <w:left w:val="nil"/>
              <w:bottom w:val="single" w:sz="4" w:space="0" w:color="auto"/>
            </w:tcBorders>
          </w:tcPr>
          <w:p w14:paraId="25EEFC85" w14:textId="77777777" w:rsidR="00033E24" w:rsidRPr="00A15111" w:rsidRDefault="00033E24" w:rsidP="00033E24">
            <w:pPr>
              <w:pStyle w:val="ListParagraph"/>
              <w:numPr>
                <w:ilvl w:val="0"/>
                <w:numId w:val="21"/>
              </w:numPr>
              <w:ind w:left="342"/>
            </w:pPr>
            <w:r w:rsidRPr="00A15111">
              <w:lastRenderedPageBreak/>
              <w:t>University of Guelph</w:t>
            </w:r>
          </w:p>
          <w:p w14:paraId="5C5A3163" w14:textId="77777777" w:rsidR="00033E24" w:rsidRPr="00A15111" w:rsidRDefault="00033E24" w:rsidP="00033E24">
            <w:pPr>
              <w:pStyle w:val="ListParagraph"/>
              <w:numPr>
                <w:ilvl w:val="0"/>
                <w:numId w:val="21"/>
              </w:numPr>
              <w:ind w:left="342"/>
            </w:pPr>
            <w:r w:rsidRPr="00A15111">
              <w:t xml:space="preserve">University of Toronto – Scarborough </w:t>
            </w:r>
          </w:p>
          <w:p w14:paraId="0B259037" w14:textId="77777777" w:rsidR="00033E24" w:rsidRPr="00A15111" w:rsidRDefault="00033E24" w:rsidP="00033E24">
            <w:pPr>
              <w:pStyle w:val="ListParagraph"/>
              <w:numPr>
                <w:ilvl w:val="0"/>
                <w:numId w:val="21"/>
              </w:numPr>
              <w:ind w:left="342"/>
            </w:pPr>
            <w:r w:rsidRPr="00A15111">
              <w:t>University of Western Ontario</w:t>
            </w:r>
          </w:p>
          <w:p w14:paraId="3B1A3B03" w14:textId="77777777" w:rsidR="00033E24" w:rsidRPr="00A15111" w:rsidRDefault="00033E24" w:rsidP="00033E24">
            <w:pPr>
              <w:pStyle w:val="ListParagraph"/>
              <w:numPr>
                <w:ilvl w:val="0"/>
                <w:numId w:val="21"/>
              </w:numPr>
              <w:ind w:left="342"/>
            </w:pPr>
            <w:r w:rsidRPr="00A15111">
              <w:t xml:space="preserve">University of Windsor </w:t>
            </w:r>
          </w:p>
          <w:p w14:paraId="7856C24B" w14:textId="77777777" w:rsidR="00033E24" w:rsidRPr="00A15111" w:rsidRDefault="00033E24" w:rsidP="00033E24">
            <w:pPr>
              <w:pStyle w:val="ListParagraph"/>
              <w:numPr>
                <w:ilvl w:val="0"/>
                <w:numId w:val="21"/>
              </w:numPr>
              <w:ind w:left="342"/>
            </w:pPr>
            <w:r w:rsidRPr="00A15111">
              <w:lastRenderedPageBreak/>
              <w:t xml:space="preserve">Wilfrid Laurier University </w:t>
            </w:r>
          </w:p>
          <w:p w14:paraId="3368C024" w14:textId="77777777" w:rsidR="00033E24" w:rsidRPr="00A15111" w:rsidRDefault="00033E24" w:rsidP="00033E24">
            <w:pPr>
              <w:pStyle w:val="ListParagraph"/>
              <w:numPr>
                <w:ilvl w:val="0"/>
                <w:numId w:val="21"/>
              </w:numPr>
              <w:ind w:left="342"/>
            </w:pPr>
            <w:r w:rsidRPr="00A15111">
              <w:t xml:space="preserve">York University </w:t>
            </w:r>
          </w:p>
        </w:tc>
      </w:tr>
      <w:tr w:rsidR="00033E24" w:rsidRPr="00A15111" w14:paraId="6C5AD76B" w14:textId="77777777" w:rsidTr="00033E24">
        <w:tc>
          <w:tcPr>
            <w:tcW w:w="0" w:type="auto"/>
          </w:tcPr>
          <w:p w14:paraId="1834585B" w14:textId="77777777" w:rsidR="00033E24" w:rsidRPr="00A15111" w:rsidRDefault="00033E24" w:rsidP="001837CA">
            <w:r w:rsidRPr="00A15111">
              <w:lastRenderedPageBreak/>
              <w:t>Increase partnerships internationally</w:t>
            </w:r>
          </w:p>
        </w:tc>
        <w:tc>
          <w:tcPr>
            <w:tcW w:w="4132" w:type="dxa"/>
            <w:gridSpan w:val="2"/>
          </w:tcPr>
          <w:p w14:paraId="2B2E6A42" w14:textId="77777777" w:rsidR="00033E24" w:rsidRPr="00A15111" w:rsidRDefault="00033E24" w:rsidP="00033E24">
            <w:pPr>
              <w:pStyle w:val="ListParagraph"/>
              <w:numPr>
                <w:ilvl w:val="0"/>
                <w:numId w:val="21"/>
              </w:numPr>
              <w:ind w:left="402"/>
            </w:pPr>
            <w:r w:rsidRPr="00A15111">
              <w:t>Centennial College of Applied Arts and Technology</w:t>
            </w:r>
          </w:p>
          <w:p w14:paraId="2EAF3F98" w14:textId="77777777" w:rsidR="00033E24" w:rsidRPr="00A15111" w:rsidRDefault="00033E24" w:rsidP="00033E24">
            <w:pPr>
              <w:pStyle w:val="ListParagraph"/>
              <w:numPr>
                <w:ilvl w:val="0"/>
                <w:numId w:val="21"/>
              </w:numPr>
              <w:ind w:left="402"/>
            </w:pPr>
            <w:r w:rsidRPr="00A15111">
              <w:t>Humber College</w:t>
            </w:r>
          </w:p>
          <w:p w14:paraId="142766FD" w14:textId="77777777" w:rsidR="00033E24" w:rsidRPr="00A15111" w:rsidRDefault="00033E24" w:rsidP="00033E24">
            <w:pPr>
              <w:pStyle w:val="ListParagraph"/>
              <w:numPr>
                <w:ilvl w:val="0"/>
                <w:numId w:val="21"/>
              </w:numPr>
              <w:ind w:left="402"/>
            </w:pPr>
            <w:r w:rsidRPr="00A15111">
              <w:t>Seneca College</w:t>
            </w:r>
          </w:p>
          <w:p w14:paraId="46A6B74D" w14:textId="77777777" w:rsidR="00033E24" w:rsidRPr="00A15111" w:rsidRDefault="00033E24" w:rsidP="00033E24">
            <w:pPr>
              <w:pStyle w:val="ListParagraph"/>
              <w:numPr>
                <w:ilvl w:val="0"/>
                <w:numId w:val="21"/>
              </w:numPr>
              <w:ind w:left="402"/>
            </w:pPr>
            <w:r w:rsidRPr="00A15111">
              <w:t>St. Lawrence College</w:t>
            </w:r>
          </w:p>
        </w:tc>
        <w:tc>
          <w:tcPr>
            <w:tcW w:w="0" w:type="auto"/>
            <w:tcBorders>
              <w:right w:val="nil"/>
            </w:tcBorders>
          </w:tcPr>
          <w:p w14:paraId="04D2D214" w14:textId="77777777" w:rsidR="00033E24" w:rsidRPr="00A15111" w:rsidRDefault="00033E24" w:rsidP="00033E24">
            <w:pPr>
              <w:pStyle w:val="ListParagraph"/>
              <w:numPr>
                <w:ilvl w:val="0"/>
                <w:numId w:val="21"/>
              </w:numPr>
              <w:ind w:left="383"/>
            </w:pPr>
            <w:r w:rsidRPr="00A15111">
              <w:t xml:space="preserve">Carleton University </w:t>
            </w:r>
          </w:p>
          <w:p w14:paraId="26D1F939" w14:textId="77777777" w:rsidR="00033E24" w:rsidRPr="00A15111" w:rsidRDefault="00033E24" w:rsidP="00033E24">
            <w:pPr>
              <w:pStyle w:val="ListParagraph"/>
              <w:numPr>
                <w:ilvl w:val="0"/>
                <w:numId w:val="21"/>
              </w:numPr>
              <w:ind w:left="383"/>
            </w:pPr>
            <w:r w:rsidRPr="00A15111">
              <w:t>Ontario College of Art and Design</w:t>
            </w:r>
          </w:p>
          <w:p w14:paraId="6052BCC6" w14:textId="77777777" w:rsidR="00033E24" w:rsidRPr="00A15111" w:rsidRDefault="00033E24" w:rsidP="00033E24">
            <w:pPr>
              <w:pStyle w:val="ListParagraph"/>
              <w:numPr>
                <w:ilvl w:val="0"/>
                <w:numId w:val="21"/>
              </w:numPr>
              <w:ind w:left="383"/>
            </w:pPr>
            <w:r w:rsidRPr="00A15111">
              <w:t>Queen’s University</w:t>
            </w:r>
          </w:p>
          <w:p w14:paraId="6120D331" w14:textId="77777777" w:rsidR="00033E24" w:rsidRPr="00A15111" w:rsidRDefault="00033E24" w:rsidP="00033E24">
            <w:pPr>
              <w:pStyle w:val="ListParagraph"/>
              <w:numPr>
                <w:ilvl w:val="0"/>
                <w:numId w:val="21"/>
              </w:numPr>
              <w:ind w:left="383"/>
            </w:pPr>
            <w:r w:rsidRPr="00A15111">
              <w:t xml:space="preserve">Ryerson University </w:t>
            </w:r>
          </w:p>
          <w:p w14:paraId="4352E1C8" w14:textId="77777777" w:rsidR="00033E24" w:rsidRPr="00A15111" w:rsidRDefault="00033E24" w:rsidP="00033E24">
            <w:pPr>
              <w:pStyle w:val="ListParagraph"/>
              <w:numPr>
                <w:ilvl w:val="0"/>
                <w:numId w:val="21"/>
              </w:numPr>
              <w:ind w:left="383"/>
            </w:pPr>
            <w:r w:rsidRPr="00A15111">
              <w:t xml:space="preserve">University of Guelph </w:t>
            </w:r>
          </w:p>
        </w:tc>
        <w:tc>
          <w:tcPr>
            <w:tcW w:w="0" w:type="auto"/>
            <w:tcBorders>
              <w:left w:val="nil"/>
            </w:tcBorders>
          </w:tcPr>
          <w:p w14:paraId="5DAC8D79" w14:textId="77777777" w:rsidR="00033E24" w:rsidRPr="00A15111" w:rsidRDefault="00033E24" w:rsidP="00033E24">
            <w:pPr>
              <w:pStyle w:val="ListParagraph"/>
              <w:numPr>
                <w:ilvl w:val="0"/>
                <w:numId w:val="21"/>
              </w:numPr>
              <w:ind w:left="383"/>
            </w:pPr>
            <w:r w:rsidRPr="00A15111">
              <w:t>University of Ottawa</w:t>
            </w:r>
          </w:p>
          <w:p w14:paraId="3FBC304D" w14:textId="77777777" w:rsidR="00033E24" w:rsidRPr="00A15111" w:rsidRDefault="00033E24" w:rsidP="00033E24">
            <w:pPr>
              <w:pStyle w:val="ListParagraph"/>
              <w:numPr>
                <w:ilvl w:val="0"/>
                <w:numId w:val="21"/>
              </w:numPr>
              <w:ind w:left="383"/>
            </w:pPr>
            <w:r w:rsidRPr="00A15111">
              <w:t xml:space="preserve">University of Toronto – Scarborough </w:t>
            </w:r>
          </w:p>
          <w:p w14:paraId="3195CF8B" w14:textId="77777777" w:rsidR="00033E24" w:rsidRPr="00A15111" w:rsidRDefault="00033E24" w:rsidP="00033E24">
            <w:pPr>
              <w:pStyle w:val="ListParagraph"/>
              <w:numPr>
                <w:ilvl w:val="0"/>
                <w:numId w:val="21"/>
              </w:numPr>
              <w:ind w:left="383"/>
            </w:pPr>
            <w:r w:rsidRPr="00A15111">
              <w:t>University of Western Ontario</w:t>
            </w:r>
          </w:p>
          <w:p w14:paraId="5B47CB9B" w14:textId="77777777" w:rsidR="00033E24" w:rsidRPr="00A15111" w:rsidRDefault="00033E24" w:rsidP="00033E24">
            <w:pPr>
              <w:pStyle w:val="ListParagraph"/>
              <w:numPr>
                <w:ilvl w:val="0"/>
                <w:numId w:val="21"/>
              </w:numPr>
              <w:ind w:left="383"/>
            </w:pPr>
            <w:r w:rsidRPr="00A15111">
              <w:t xml:space="preserve">University of Windsor </w:t>
            </w:r>
          </w:p>
        </w:tc>
      </w:tr>
      <w:tr w:rsidR="00033E24" w:rsidRPr="00A15111" w14:paraId="2009D3D7" w14:textId="77777777" w:rsidTr="00033E24">
        <w:tc>
          <w:tcPr>
            <w:tcW w:w="0" w:type="auto"/>
          </w:tcPr>
          <w:p w14:paraId="7407031A" w14:textId="77777777" w:rsidR="001837CA" w:rsidRPr="00A15111" w:rsidRDefault="001837CA" w:rsidP="001837CA">
            <w:r w:rsidRPr="00A15111">
              <w:t xml:space="preserve">Improve student </w:t>
            </w:r>
            <w:r w:rsidR="00506F0C" w:rsidRPr="00A15111">
              <w:t xml:space="preserve">/ faculty </w:t>
            </w:r>
            <w:r w:rsidRPr="00A15111">
              <w:t xml:space="preserve">mobility in terms of international opportunities </w:t>
            </w:r>
          </w:p>
        </w:tc>
        <w:tc>
          <w:tcPr>
            <w:tcW w:w="4132" w:type="dxa"/>
            <w:gridSpan w:val="2"/>
          </w:tcPr>
          <w:p w14:paraId="4C0EF78D" w14:textId="77777777" w:rsidR="00AC1875" w:rsidRPr="00A15111" w:rsidRDefault="00AC1875" w:rsidP="00033E24">
            <w:pPr>
              <w:pStyle w:val="ListParagraph"/>
              <w:numPr>
                <w:ilvl w:val="0"/>
                <w:numId w:val="23"/>
              </w:numPr>
              <w:ind w:left="402"/>
            </w:pPr>
            <w:r w:rsidRPr="00A15111">
              <w:t>Centennial College of Applied Arts and Technology</w:t>
            </w:r>
          </w:p>
          <w:p w14:paraId="753BC6D8" w14:textId="77777777" w:rsidR="001837CA" w:rsidRPr="00A15111" w:rsidRDefault="001220CB" w:rsidP="00033E24">
            <w:pPr>
              <w:pStyle w:val="ListParagraph"/>
              <w:numPr>
                <w:ilvl w:val="0"/>
                <w:numId w:val="23"/>
              </w:numPr>
              <w:ind w:left="402"/>
            </w:pPr>
            <w:r w:rsidRPr="00A15111">
              <w:t xml:space="preserve">Confederation College </w:t>
            </w:r>
          </w:p>
          <w:p w14:paraId="11483885" w14:textId="77777777" w:rsidR="001220CB" w:rsidRPr="00A15111" w:rsidRDefault="001220CB" w:rsidP="00033E24">
            <w:pPr>
              <w:pStyle w:val="ListParagraph"/>
              <w:numPr>
                <w:ilvl w:val="0"/>
                <w:numId w:val="23"/>
              </w:numPr>
              <w:ind w:left="402"/>
            </w:pPr>
            <w:r w:rsidRPr="00A15111">
              <w:t>Conestoga College</w:t>
            </w:r>
          </w:p>
          <w:p w14:paraId="1AACF719" w14:textId="77777777" w:rsidR="001220CB" w:rsidRPr="00A15111" w:rsidRDefault="001220CB" w:rsidP="00033E24">
            <w:pPr>
              <w:pStyle w:val="ListParagraph"/>
              <w:numPr>
                <w:ilvl w:val="0"/>
                <w:numId w:val="23"/>
              </w:numPr>
              <w:ind w:left="402"/>
            </w:pPr>
            <w:r w:rsidRPr="00A15111">
              <w:t xml:space="preserve">Fleming College </w:t>
            </w:r>
          </w:p>
          <w:p w14:paraId="78903712" w14:textId="77777777" w:rsidR="00AC1875" w:rsidRPr="00A15111" w:rsidRDefault="00AC1875" w:rsidP="00033E24">
            <w:pPr>
              <w:pStyle w:val="ListParagraph"/>
              <w:numPr>
                <w:ilvl w:val="0"/>
                <w:numId w:val="23"/>
              </w:numPr>
              <w:ind w:left="402"/>
            </w:pPr>
            <w:r w:rsidRPr="00A15111">
              <w:t xml:space="preserve">Seneca College </w:t>
            </w:r>
          </w:p>
        </w:tc>
        <w:tc>
          <w:tcPr>
            <w:tcW w:w="0" w:type="auto"/>
            <w:gridSpan w:val="2"/>
          </w:tcPr>
          <w:p w14:paraId="4F9DA832" w14:textId="77777777" w:rsidR="00AC1875" w:rsidRPr="00A15111" w:rsidRDefault="00AC1875" w:rsidP="00033E24">
            <w:pPr>
              <w:pStyle w:val="ListParagraph"/>
              <w:numPr>
                <w:ilvl w:val="0"/>
                <w:numId w:val="23"/>
              </w:numPr>
              <w:ind w:left="388"/>
            </w:pPr>
            <w:r w:rsidRPr="00A15111">
              <w:t xml:space="preserve">Carleton University </w:t>
            </w:r>
          </w:p>
          <w:p w14:paraId="6E4A6D56" w14:textId="77777777" w:rsidR="001220CB" w:rsidRPr="00A15111" w:rsidRDefault="001220CB" w:rsidP="00033E24">
            <w:pPr>
              <w:pStyle w:val="ListParagraph"/>
              <w:numPr>
                <w:ilvl w:val="0"/>
                <w:numId w:val="23"/>
              </w:numPr>
              <w:ind w:left="388"/>
            </w:pPr>
            <w:r w:rsidRPr="00A15111">
              <w:t>Ontario College of Art and Design</w:t>
            </w:r>
          </w:p>
          <w:p w14:paraId="38518104" w14:textId="77777777" w:rsidR="001837CA" w:rsidRPr="00A15111" w:rsidRDefault="001837CA" w:rsidP="00033E24">
            <w:pPr>
              <w:pStyle w:val="ListParagraph"/>
              <w:numPr>
                <w:ilvl w:val="0"/>
                <w:numId w:val="23"/>
              </w:numPr>
              <w:ind w:left="388"/>
            </w:pPr>
            <w:r w:rsidRPr="00A15111">
              <w:t xml:space="preserve">Queen’s University </w:t>
            </w:r>
          </w:p>
          <w:p w14:paraId="29CF4B33" w14:textId="77777777" w:rsidR="00647977" w:rsidRPr="00A15111" w:rsidRDefault="00647977" w:rsidP="00033E24">
            <w:pPr>
              <w:pStyle w:val="ListParagraph"/>
              <w:numPr>
                <w:ilvl w:val="0"/>
                <w:numId w:val="23"/>
              </w:numPr>
              <w:ind w:left="388"/>
            </w:pPr>
            <w:r w:rsidRPr="00A15111">
              <w:t xml:space="preserve">University of Ottawa </w:t>
            </w:r>
          </w:p>
          <w:p w14:paraId="1084A7B7" w14:textId="77777777" w:rsidR="00647977" w:rsidRPr="00A15111" w:rsidRDefault="00647977" w:rsidP="00033E24">
            <w:pPr>
              <w:pStyle w:val="ListParagraph"/>
              <w:numPr>
                <w:ilvl w:val="0"/>
                <w:numId w:val="23"/>
              </w:numPr>
              <w:ind w:left="388"/>
            </w:pPr>
            <w:r w:rsidRPr="00A15111">
              <w:t xml:space="preserve">University of Toronto – Scarborough </w:t>
            </w:r>
          </w:p>
          <w:p w14:paraId="4C22D632" w14:textId="77777777" w:rsidR="001220CB" w:rsidRPr="00A15111" w:rsidRDefault="001220CB" w:rsidP="00033E24">
            <w:pPr>
              <w:pStyle w:val="ListParagraph"/>
              <w:numPr>
                <w:ilvl w:val="0"/>
                <w:numId w:val="23"/>
              </w:numPr>
              <w:ind w:left="388"/>
            </w:pPr>
            <w:r w:rsidRPr="00A15111">
              <w:t>University of Western Ontario</w:t>
            </w:r>
          </w:p>
          <w:p w14:paraId="6F801746" w14:textId="77777777" w:rsidR="00647977" w:rsidRPr="00A15111" w:rsidRDefault="00506F0C" w:rsidP="00033E24">
            <w:pPr>
              <w:pStyle w:val="ListParagraph"/>
              <w:numPr>
                <w:ilvl w:val="0"/>
                <w:numId w:val="23"/>
              </w:numPr>
              <w:ind w:left="388"/>
            </w:pPr>
            <w:r w:rsidRPr="00A15111">
              <w:t>University of Windsor</w:t>
            </w:r>
          </w:p>
        </w:tc>
      </w:tr>
      <w:tr w:rsidR="00033E24" w:rsidRPr="00A15111" w14:paraId="19994E84" w14:textId="77777777" w:rsidTr="00033E24">
        <w:tc>
          <w:tcPr>
            <w:tcW w:w="0" w:type="auto"/>
          </w:tcPr>
          <w:p w14:paraId="341098E0" w14:textId="77777777" w:rsidR="001837CA" w:rsidRPr="00A15111" w:rsidRDefault="001837CA" w:rsidP="001837CA">
            <w:r w:rsidRPr="00A15111">
              <w:t xml:space="preserve">Increase international student enrolment </w:t>
            </w:r>
          </w:p>
        </w:tc>
        <w:tc>
          <w:tcPr>
            <w:tcW w:w="4132" w:type="dxa"/>
            <w:gridSpan w:val="2"/>
          </w:tcPr>
          <w:p w14:paraId="7BC5A4EF" w14:textId="77777777" w:rsidR="001837CA" w:rsidRPr="00A15111" w:rsidRDefault="001220CB" w:rsidP="00033E24">
            <w:pPr>
              <w:pStyle w:val="ListParagraph"/>
              <w:numPr>
                <w:ilvl w:val="0"/>
                <w:numId w:val="24"/>
              </w:numPr>
              <w:ind w:left="402"/>
            </w:pPr>
            <w:r w:rsidRPr="00A15111">
              <w:t xml:space="preserve">Confederation College </w:t>
            </w:r>
          </w:p>
        </w:tc>
        <w:tc>
          <w:tcPr>
            <w:tcW w:w="0" w:type="auto"/>
            <w:gridSpan w:val="2"/>
          </w:tcPr>
          <w:p w14:paraId="685563AD" w14:textId="77777777" w:rsidR="001837CA" w:rsidRPr="00A15111" w:rsidRDefault="001837CA" w:rsidP="00033E24">
            <w:pPr>
              <w:pStyle w:val="ListParagraph"/>
              <w:numPr>
                <w:ilvl w:val="0"/>
                <w:numId w:val="22"/>
              </w:numPr>
              <w:ind w:left="388"/>
            </w:pPr>
            <w:r w:rsidRPr="00A15111">
              <w:t xml:space="preserve">Queen’s University </w:t>
            </w:r>
          </w:p>
          <w:p w14:paraId="2EDDD19E" w14:textId="77777777" w:rsidR="008604BB" w:rsidRPr="00A15111" w:rsidRDefault="008604BB" w:rsidP="00033E24">
            <w:pPr>
              <w:pStyle w:val="ListParagraph"/>
              <w:numPr>
                <w:ilvl w:val="0"/>
                <w:numId w:val="22"/>
              </w:numPr>
              <w:ind w:left="388"/>
            </w:pPr>
            <w:r w:rsidRPr="00A15111">
              <w:t>University of Waterloo</w:t>
            </w:r>
          </w:p>
          <w:p w14:paraId="0EBF7836" w14:textId="77777777" w:rsidR="00647977" w:rsidRPr="00A15111" w:rsidRDefault="00647977" w:rsidP="00033E24">
            <w:pPr>
              <w:pStyle w:val="ListParagraph"/>
              <w:numPr>
                <w:ilvl w:val="0"/>
                <w:numId w:val="22"/>
              </w:numPr>
              <w:ind w:left="388"/>
            </w:pPr>
            <w:r w:rsidRPr="00A15111">
              <w:t xml:space="preserve">Wilfrid Laurier University </w:t>
            </w:r>
          </w:p>
          <w:p w14:paraId="627372FA" w14:textId="77777777" w:rsidR="00647977" w:rsidRPr="00A15111" w:rsidRDefault="00647977" w:rsidP="00033E24">
            <w:pPr>
              <w:pStyle w:val="ListParagraph"/>
              <w:numPr>
                <w:ilvl w:val="0"/>
                <w:numId w:val="22"/>
              </w:numPr>
              <w:ind w:left="388"/>
            </w:pPr>
            <w:r w:rsidRPr="00A15111">
              <w:t xml:space="preserve">York University </w:t>
            </w:r>
          </w:p>
          <w:p w14:paraId="020EC5FA" w14:textId="77777777" w:rsidR="00647977" w:rsidRPr="00A15111" w:rsidRDefault="00647977" w:rsidP="00033E24">
            <w:pPr>
              <w:pStyle w:val="ListParagraph"/>
              <w:numPr>
                <w:ilvl w:val="0"/>
                <w:numId w:val="22"/>
              </w:numPr>
              <w:ind w:left="388"/>
            </w:pPr>
            <w:r w:rsidRPr="00A15111">
              <w:t xml:space="preserve">University of Ottawa </w:t>
            </w:r>
          </w:p>
          <w:p w14:paraId="0BCDC38B" w14:textId="77777777" w:rsidR="00647977" w:rsidRPr="00A15111" w:rsidRDefault="00647977" w:rsidP="00033E24">
            <w:pPr>
              <w:pStyle w:val="ListParagraph"/>
              <w:numPr>
                <w:ilvl w:val="0"/>
                <w:numId w:val="22"/>
              </w:numPr>
              <w:ind w:left="388"/>
            </w:pPr>
            <w:r w:rsidRPr="00A15111">
              <w:t xml:space="preserve">University of Western Ontario </w:t>
            </w:r>
          </w:p>
          <w:p w14:paraId="6FD3560E" w14:textId="77777777" w:rsidR="00506F0C" w:rsidRPr="00A15111" w:rsidRDefault="00506F0C" w:rsidP="00033E24">
            <w:pPr>
              <w:pStyle w:val="ListParagraph"/>
              <w:numPr>
                <w:ilvl w:val="0"/>
                <w:numId w:val="22"/>
              </w:numPr>
              <w:ind w:left="388"/>
            </w:pPr>
            <w:r w:rsidRPr="00A15111">
              <w:t xml:space="preserve">University of Windsor </w:t>
            </w:r>
          </w:p>
        </w:tc>
      </w:tr>
    </w:tbl>
    <w:p w14:paraId="2965D6D3" w14:textId="77777777" w:rsidR="00033E24" w:rsidRPr="00A15111" w:rsidRDefault="00033E24" w:rsidP="001837CA">
      <w:pPr>
        <w:sectPr w:rsidR="00033E24" w:rsidRPr="00A15111" w:rsidSect="00033E24">
          <w:headerReference w:type="default" r:id="rId18"/>
          <w:footerReference w:type="default" r:id="rId19"/>
          <w:pgSz w:w="15840" w:h="12240" w:orient="landscape"/>
          <w:pgMar w:top="1440" w:right="1440" w:bottom="1440" w:left="1440" w:header="708" w:footer="708" w:gutter="0"/>
          <w:cols w:space="708"/>
          <w:docGrid w:linePitch="360"/>
        </w:sectPr>
      </w:pPr>
    </w:p>
    <w:p w14:paraId="49D325B7" w14:textId="77777777" w:rsidR="00FF6C42" w:rsidRPr="00A15111" w:rsidRDefault="00FF6C42" w:rsidP="00FF6C42">
      <w:r w:rsidRPr="00A15111">
        <w:lastRenderedPageBreak/>
        <w:t xml:space="preserve">Colleges and universities have also prioritized a number of other international cooperation related activities albeit to varying degrees. Five colleges and seven universities have made improving student and/or staff international mobility a priority. Five colleges and two universities have also made internationalization of their curriculum, in terms of integrating global perspectives, a priority. Five universities aspire to become world recognized in their research activities. Seven universities and one college have made increasing international student enrolment a priority.  </w:t>
      </w:r>
    </w:p>
    <w:p w14:paraId="19F2711B" w14:textId="77777777" w:rsidR="007577FA" w:rsidRPr="00A15111" w:rsidRDefault="007577FA" w:rsidP="001837CA">
      <w:pPr>
        <w:pStyle w:val="Heading1"/>
      </w:pPr>
      <w:bookmarkStart w:id="53" w:name="_Toc467163291"/>
      <w:r w:rsidRPr="00A15111">
        <w:t>Opportunities for Collective Impact</w:t>
      </w:r>
      <w:bookmarkEnd w:id="53"/>
      <w:r w:rsidRPr="00A15111">
        <w:t xml:space="preserve"> </w:t>
      </w:r>
    </w:p>
    <w:p w14:paraId="1C59AFA3" w14:textId="77777777" w:rsidR="007577FA" w:rsidRPr="00A15111" w:rsidRDefault="007577FA" w:rsidP="00812953">
      <w:pPr>
        <w:pStyle w:val="Heading2"/>
      </w:pPr>
      <w:bookmarkStart w:id="54" w:name="_Toc462982541"/>
      <w:bookmarkStart w:id="55" w:name="_Toc462988915"/>
      <w:bookmarkStart w:id="56" w:name="_Toc463342162"/>
      <w:bookmarkStart w:id="57" w:name="_Toc467163292"/>
      <w:r w:rsidRPr="00A15111">
        <w:t>Municipalities</w:t>
      </w:r>
      <w:bookmarkEnd w:id="54"/>
      <w:bookmarkEnd w:id="55"/>
      <w:bookmarkEnd w:id="56"/>
      <w:bookmarkEnd w:id="57"/>
    </w:p>
    <w:p w14:paraId="73EE8BA6" w14:textId="65493049" w:rsidR="00863C1D" w:rsidRPr="00A15111" w:rsidRDefault="00863C1D" w:rsidP="00863C1D">
      <w:r w:rsidRPr="00A15111">
        <w:t>The review of selected Ontario municipalities and municipal associations revealed several important findings in terms of opportunities for collective impact. First, it illustrated that international</w:t>
      </w:r>
      <w:r w:rsidR="00FF6C42" w:rsidRPr="00A15111">
        <w:t>ly agreed development</w:t>
      </w:r>
      <w:r w:rsidRPr="00A15111">
        <w:t xml:space="preserve"> goals, with few exceptions, are not integrated into municipal plans and activities. This is unsurprising given that the MDGs, the predecessor to the SDGs, applied to developing countries. Ontario municipalities have limited experience with global goal frameworks and their implementation. Second, Ontario municipalities engage in international cooperation to a limited extent. For the most part, they do not have specific international plans and strategies, and most forms of engagement appear to be ad hoc and related to special events. Third, the strategic plans and priorities as set out by municipalities align with many of the SDGs, in particular (and unsurprisingly), the goal on sustainable cities and human settlements. Ontario municipalities are concerned with sustainable development, as it is understood in the UN context in terms of environmental, social and economic progress. Finally, eight of the 13 municipalities examined have made open and responsible government a priority. </w:t>
      </w:r>
    </w:p>
    <w:p w14:paraId="44CB68B7" w14:textId="0BD533E7" w:rsidR="00896602" w:rsidRPr="00A15111" w:rsidRDefault="00AC4FD5" w:rsidP="00896602">
      <w:r w:rsidRPr="00A15111">
        <w:t>From a collective impact perspective, p</w:t>
      </w:r>
      <w:r w:rsidR="00863C1D" w:rsidRPr="00A15111">
        <w:t>riorities articulated by municipalities suggests that there is alignment of interests between municipalities, OCIC members and other stakeholders in Ontario concerned with sustainable development.</w:t>
      </w:r>
      <w:r w:rsidR="00896602" w:rsidRPr="00A15111">
        <w:t xml:space="preserve"> Municipal priorities can </w:t>
      </w:r>
      <w:r w:rsidRPr="00A15111">
        <w:t>be used to</w:t>
      </w:r>
      <w:r w:rsidR="00896602" w:rsidRPr="00A15111">
        <w:t xml:space="preserve"> introduce Ontario municipalities to the SDGs and for discussions on concrete priorities for collective impact. It is also likely that municipalities will be open to exploring opportunities for broader partnership and community engagement</w:t>
      </w:r>
      <w:r w:rsidR="00F6600A" w:rsidRPr="00A15111">
        <w:t>, including with Indigenous communities,</w:t>
      </w:r>
      <w:r w:rsidR="00896602" w:rsidRPr="00A15111">
        <w:t xml:space="preserve"> owing to commitments to responsible government.  </w:t>
      </w:r>
    </w:p>
    <w:p w14:paraId="5003BB71" w14:textId="65265D46" w:rsidR="000B106C" w:rsidRPr="00A15111" w:rsidRDefault="000B106C" w:rsidP="00896602">
      <w:r w:rsidRPr="00A15111">
        <w:t xml:space="preserve">In terms of international cooperation, it appears that there is room for further engagement by municipalities. Opportunities exist to link municipal priorities to key international events and specialized days of recognition. There may be potential for OCIC and its members to work with municipalities in this context, particularly in terms of </w:t>
      </w:r>
      <w:r w:rsidR="00F6600A" w:rsidRPr="00A15111">
        <w:t xml:space="preserve">improving public engagement on sustainable development issues, linking local and global priorities. At the international level, OCIC and its members could also work with municipalities to showcase successful approaches towards realizing sustainable development in Ontario at the local level as well as learn from the experiences of others. </w:t>
      </w:r>
    </w:p>
    <w:p w14:paraId="70A43E7C" w14:textId="5E4E18FB" w:rsidR="00AC4FD5" w:rsidRPr="00A15111" w:rsidRDefault="00122BE4" w:rsidP="00AC4FD5">
      <w:pPr>
        <w:pStyle w:val="Heading2"/>
      </w:pPr>
      <w:bookmarkStart w:id="58" w:name="_Toc462982542"/>
      <w:bookmarkStart w:id="59" w:name="_Toc462988916"/>
      <w:bookmarkStart w:id="60" w:name="_Toc463342163"/>
      <w:bookmarkStart w:id="61" w:name="_Toc467163293"/>
      <w:r>
        <w:t>Colleges and U</w:t>
      </w:r>
      <w:r w:rsidR="007577FA" w:rsidRPr="00A15111">
        <w:t>niversities</w:t>
      </w:r>
      <w:bookmarkEnd w:id="58"/>
      <w:bookmarkEnd w:id="59"/>
      <w:bookmarkEnd w:id="60"/>
      <w:bookmarkEnd w:id="61"/>
    </w:p>
    <w:p w14:paraId="44A223E7" w14:textId="41D65010" w:rsidR="00896602" w:rsidRPr="00A15111" w:rsidRDefault="00F57C5D" w:rsidP="00353EE1">
      <w:pPr>
        <w:rPr>
          <w:rFonts w:cs="Arial"/>
          <w:bCs/>
        </w:rPr>
      </w:pPr>
      <w:r w:rsidRPr="00A15111">
        <w:t xml:space="preserve">At the institutional level, </w:t>
      </w:r>
      <w:r w:rsidR="00DD102A" w:rsidRPr="00A15111">
        <w:t xml:space="preserve">the research shows that </w:t>
      </w:r>
      <w:r w:rsidRPr="00A15111">
        <w:t>c</w:t>
      </w:r>
      <w:r w:rsidR="00AC4FD5" w:rsidRPr="00A15111">
        <w:t>olleges and universities are keenly interested in expanding opportun</w:t>
      </w:r>
      <w:r w:rsidR="00353EE1" w:rsidRPr="00A15111">
        <w:t xml:space="preserve">ities for experiential learning and </w:t>
      </w:r>
      <w:r w:rsidR="00AC4FD5" w:rsidRPr="00A15111">
        <w:t>international and local partnerships. These priorities present entry points for OCIC and OCIC members in terms of formal collaboration and partnership</w:t>
      </w:r>
      <w:r w:rsidR="00495E4D" w:rsidRPr="00A15111">
        <w:t>. In particular opportunities ma</w:t>
      </w:r>
      <w:r w:rsidR="00942EF5" w:rsidRPr="00A15111">
        <w:t xml:space="preserve">y exist for student placements </w:t>
      </w:r>
      <w:r w:rsidR="00495E4D" w:rsidRPr="00A15111">
        <w:t xml:space="preserve">and </w:t>
      </w:r>
      <w:r w:rsidR="00AC4FD5" w:rsidRPr="00A15111">
        <w:t>participation in international and more localized research initiatives on sustainable development.</w:t>
      </w:r>
      <w:r w:rsidR="00353EE1" w:rsidRPr="00A15111">
        <w:t xml:space="preserve"> There is also potential to harness </w:t>
      </w:r>
      <w:r w:rsidR="00896602" w:rsidRPr="00A15111">
        <w:rPr>
          <w:rFonts w:cs="Arial"/>
          <w:bCs/>
        </w:rPr>
        <w:t xml:space="preserve">increasing attention to global issues in tertiary education and the internationalization of </w:t>
      </w:r>
      <w:r w:rsidR="00896602" w:rsidRPr="00A15111">
        <w:rPr>
          <w:rFonts w:cs="Arial"/>
          <w:bCs/>
        </w:rPr>
        <w:lastRenderedPageBreak/>
        <w:t>student experiences</w:t>
      </w:r>
      <w:r w:rsidR="00495E4D" w:rsidRPr="00A15111">
        <w:rPr>
          <w:rFonts w:cs="Arial"/>
          <w:bCs/>
        </w:rPr>
        <w:t xml:space="preserve">. </w:t>
      </w:r>
      <w:r w:rsidR="00353EE1" w:rsidRPr="00A15111">
        <w:rPr>
          <w:rFonts w:cs="Arial"/>
          <w:bCs/>
        </w:rPr>
        <w:t>OCIC and its members</w:t>
      </w:r>
      <w:r w:rsidR="00495E4D" w:rsidRPr="00A15111">
        <w:rPr>
          <w:rFonts w:cs="Arial"/>
          <w:bCs/>
        </w:rPr>
        <w:t xml:space="preserve"> may be well positioned to contribute to course content and through student engagement abroad</w:t>
      </w:r>
      <w:r w:rsidR="00353EE1" w:rsidRPr="00A15111">
        <w:rPr>
          <w:rFonts w:cs="Arial"/>
          <w:bCs/>
        </w:rPr>
        <w:t xml:space="preserve">. </w:t>
      </w:r>
    </w:p>
    <w:p w14:paraId="220E9BA7" w14:textId="13A71418" w:rsidR="00DD102A" w:rsidRPr="00A15111" w:rsidRDefault="00DD102A" w:rsidP="00353EE1">
      <w:pPr>
        <w:rPr>
          <w:rFonts w:cs="Arial"/>
          <w:bCs/>
        </w:rPr>
      </w:pPr>
      <w:r w:rsidRPr="00A15111">
        <w:rPr>
          <w:rFonts w:cs="Arial"/>
          <w:bCs/>
        </w:rPr>
        <w:t xml:space="preserve">A number of the universities and colleges examined also noted the importance of being a part of the communities in which they operate. Not only are they focusing on establishing local partnerships, but also engaging with communities on research needs, including in terms of realizing social transformation. </w:t>
      </w:r>
      <w:r w:rsidR="00B647AF" w:rsidRPr="00A15111">
        <w:rPr>
          <w:rFonts w:cs="Arial"/>
          <w:bCs/>
        </w:rPr>
        <w:t>C</w:t>
      </w:r>
      <w:r w:rsidRPr="00A15111">
        <w:rPr>
          <w:rFonts w:cs="Arial"/>
          <w:bCs/>
        </w:rPr>
        <w:t xml:space="preserve">ollege and university partners are well-positioned to assist in the development of evidence based approach to realizing </w:t>
      </w:r>
      <w:r w:rsidR="00B647AF" w:rsidRPr="00A15111">
        <w:rPr>
          <w:rFonts w:cs="Arial"/>
          <w:bCs/>
        </w:rPr>
        <w:t>collective impact</w:t>
      </w:r>
      <w:r w:rsidRPr="00A15111">
        <w:rPr>
          <w:rFonts w:cs="Arial"/>
          <w:bCs/>
        </w:rPr>
        <w:t xml:space="preserve"> and monitoring the impacts of</w:t>
      </w:r>
      <w:r w:rsidR="00B647AF" w:rsidRPr="00A15111">
        <w:rPr>
          <w:rFonts w:cs="Arial"/>
          <w:bCs/>
        </w:rPr>
        <w:t xml:space="preserve"> </w:t>
      </w:r>
      <w:r w:rsidRPr="00A15111">
        <w:rPr>
          <w:rFonts w:cs="Arial"/>
          <w:bCs/>
        </w:rPr>
        <w:t xml:space="preserve">efforts. </w:t>
      </w:r>
    </w:p>
    <w:p w14:paraId="0D9FAFFD" w14:textId="467AF4FF" w:rsidR="00F57C5D" w:rsidRPr="00A15111" w:rsidRDefault="00DD102A" w:rsidP="00353EE1">
      <w:pPr>
        <w:rPr>
          <w:rFonts w:cs="Arial"/>
          <w:bCs/>
        </w:rPr>
      </w:pPr>
      <w:r w:rsidRPr="00A15111">
        <w:rPr>
          <w:rFonts w:cs="Arial"/>
          <w:bCs/>
        </w:rPr>
        <w:t xml:space="preserve">The </w:t>
      </w:r>
      <w:r w:rsidR="00F57C5D" w:rsidRPr="00A15111">
        <w:rPr>
          <w:rFonts w:cs="Arial"/>
          <w:bCs/>
        </w:rPr>
        <w:t>IDS programs</w:t>
      </w:r>
      <w:r w:rsidRPr="00A15111">
        <w:rPr>
          <w:rFonts w:cs="Arial"/>
          <w:bCs/>
        </w:rPr>
        <w:t xml:space="preserve"> examined offer a number of useful entry points for engagement as well. Owing to their substantive nature and emphasis on local and global change, IDS programs offer opportunities to work with OCIC and members on international cooperation policy issues and public engagement in terms of events, guest lectures, blogs, </w:t>
      </w:r>
      <w:r w:rsidRPr="00A15111">
        <w:rPr>
          <w:rFonts w:cs="Arial"/>
          <w:bCs/>
          <w:i/>
        </w:rPr>
        <w:t>inter alia</w:t>
      </w:r>
      <w:r w:rsidRPr="00A15111">
        <w:rPr>
          <w:rFonts w:cs="Arial"/>
          <w:bCs/>
        </w:rPr>
        <w:t xml:space="preserve">. The focus on experiential learning in IDS programs, and in particular on offering </w:t>
      </w:r>
      <w:r w:rsidR="00F302B3" w:rsidRPr="00A15111">
        <w:rPr>
          <w:rFonts w:cs="Arial"/>
          <w:bCs/>
        </w:rPr>
        <w:t xml:space="preserve">local </w:t>
      </w:r>
      <w:r w:rsidRPr="00A15111">
        <w:rPr>
          <w:rFonts w:cs="Arial"/>
          <w:bCs/>
        </w:rPr>
        <w:t>opportunities to students, afford</w:t>
      </w:r>
      <w:r w:rsidR="00F302B3" w:rsidRPr="00A15111">
        <w:rPr>
          <w:rFonts w:cs="Arial"/>
          <w:bCs/>
        </w:rPr>
        <w:t>s</w:t>
      </w:r>
      <w:r w:rsidRPr="00A15111">
        <w:rPr>
          <w:rFonts w:cs="Arial"/>
          <w:bCs/>
        </w:rPr>
        <w:t xml:space="preserve"> OCIC and its members avenues to work with students as interns and volunteers in at least two important ways. First, students looking to gain experience in the non-profit sector could work directly with OCIC and its members. Second, students could be engaged in collective impact efforts </w:t>
      </w:r>
      <w:r w:rsidR="00F302B3" w:rsidRPr="00A15111">
        <w:rPr>
          <w:rFonts w:cs="Arial"/>
          <w:bCs/>
        </w:rPr>
        <w:t>by working</w:t>
      </w:r>
      <w:r w:rsidRPr="00A15111">
        <w:rPr>
          <w:rFonts w:cs="Arial"/>
          <w:bCs/>
        </w:rPr>
        <w:t xml:space="preserve"> with backbone institutions or on other aspects of col</w:t>
      </w:r>
      <w:r w:rsidR="00F302B3" w:rsidRPr="00A15111">
        <w:rPr>
          <w:rFonts w:cs="Arial"/>
          <w:bCs/>
        </w:rPr>
        <w:t>lective initiatives through</w:t>
      </w:r>
      <w:r w:rsidRPr="00A15111">
        <w:rPr>
          <w:rFonts w:cs="Arial"/>
          <w:bCs/>
        </w:rPr>
        <w:t xml:space="preserve"> research and other forms of support.  </w:t>
      </w:r>
      <w:r w:rsidR="00F57C5D" w:rsidRPr="00A15111">
        <w:rPr>
          <w:rFonts w:cs="Arial"/>
          <w:bCs/>
        </w:rPr>
        <w:t xml:space="preserve"> </w:t>
      </w:r>
    </w:p>
    <w:p w14:paraId="6875FD8D" w14:textId="476A5439" w:rsidR="007577FA" w:rsidRPr="00A15111" w:rsidRDefault="007577FA" w:rsidP="00495E4D">
      <w:pPr>
        <w:pStyle w:val="Heading1"/>
      </w:pPr>
      <w:bookmarkStart w:id="62" w:name="_Toc467163294"/>
      <w:r w:rsidRPr="00A15111">
        <w:t>Conclus</w:t>
      </w:r>
      <w:r w:rsidR="00AB3EAD" w:rsidRPr="00A15111">
        <w:t>ions: Gaps and A</w:t>
      </w:r>
      <w:r w:rsidRPr="00A15111">
        <w:t xml:space="preserve">reas for </w:t>
      </w:r>
      <w:r w:rsidR="00AB3EAD" w:rsidRPr="00A15111">
        <w:t>Further F</w:t>
      </w:r>
      <w:r w:rsidRPr="00A15111">
        <w:t>ollow-up</w:t>
      </w:r>
      <w:bookmarkEnd w:id="62"/>
    </w:p>
    <w:p w14:paraId="67FE89FD" w14:textId="1F466738" w:rsidR="007577FA" w:rsidRPr="00A15111" w:rsidRDefault="00DD102A" w:rsidP="00DD102A">
      <w:r w:rsidRPr="00A15111">
        <w:t xml:space="preserve">This report provides a baseline of Ontario MCU engagement on the SDGs and international cooperation efforts. It identifies a number of key areas in which OCIC and its members can pursue collective impact with MCUs. As the first phase of OCIC’s collective impact initiative, the report provides an initial scoping from which OCIC can build. There are a number of key areas for further follow-up in phase two. </w:t>
      </w:r>
    </w:p>
    <w:p w14:paraId="7615BF0A" w14:textId="77777777" w:rsidR="00F302B3" w:rsidRPr="00A15111" w:rsidRDefault="00DD102A" w:rsidP="00DD102A">
      <w:r w:rsidRPr="00A15111">
        <w:t xml:space="preserve">With respect to municipalities, the research found very little on the potential role municipal associations could play from a collective impact perspective, particularly in terms of articulating the priorities of and engaging with smaller municipalities such as those located in rural areas or norther Ontario. Engagement with municipal associations in phase two should focus on further identifying their priorities and potential collective impact entry points. </w:t>
      </w:r>
    </w:p>
    <w:p w14:paraId="6AF28357" w14:textId="73035209" w:rsidR="00DD102A" w:rsidRPr="00A15111" w:rsidRDefault="00F302B3" w:rsidP="00DD102A">
      <w:r w:rsidRPr="00A15111">
        <w:t>T</w:t>
      </w:r>
      <w:r w:rsidR="00DD102A" w:rsidRPr="00A15111">
        <w:t xml:space="preserve">hough a number of international cooperation activities were identified for municipalities, it is unclear to what extent municipalities see international cooperation as a priority and if so, to what end. Phase two should examine further municipal priorities for international cooperation and look towards how municipalities can work in partnership with other stakeholders to facilitate greater linkages between local and global efforts in areas of shared interest. Finally, phase two should further identify municipal priorities for collective impact. Though municipalities share many overarching priorities, it would be useful to have a better understanding of which priorities are good candidates for pursing collective impact </w:t>
      </w:r>
      <w:r w:rsidRPr="00A15111">
        <w:t>the municipal perspective</w:t>
      </w:r>
      <w:r w:rsidR="00DD102A" w:rsidRPr="00A15111">
        <w:t xml:space="preserve">.  </w:t>
      </w:r>
    </w:p>
    <w:p w14:paraId="1E30B5D1" w14:textId="1A5CAFF3" w:rsidR="007577FA" w:rsidRPr="00A15111" w:rsidRDefault="00DD102A" w:rsidP="00DD102A">
      <w:r w:rsidRPr="00A15111">
        <w:t>For c</w:t>
      </w:r>
      <w:r w:rsidR="007577FA" w:rsidRPr="00A15111">
        <w:t>olleges and universities</w:t>
      </w:r>
      <w:r w:rsidRPr="00A15111">
        <w:t>, as alluded throughout</w:t>
      </w:r>
      <w:r w:rsidR="00B93049" w:rsidRPr="00A15111">
        <w:t xml:space="preserve"> the report</w:t>
      </w:r>
      <w:r w:rsidRPr="00A15111">
        <w:t>, phase two will need to include and move beyond IDS programs. As collective impact priorities emerge, it is likely that interest will exist from a range of college and university programs. In this context, there is scope to further explore existing</w:t>
      </w:r>
      <w:r w:rsidR="00F468EF" w:rsidRPr="00A15111">
        <w:t xml:space="preserve"> college and</w:t>
      </w:r>
      <w:r w:rsidRPr="00A15111">
        <w:t xml:space="preserve"> university partnerships with community stakeholders as a means to identify entry points and harness ongoing initiatives. There is als</w:t>
      </w:r>
      <w:r w:rsidR="00F468EF" w:rsidRPr="00A15111">
        <w:t>o value in further identifying college and u</w:t>
      </w:r>
      <w:r w:rsidRPr="00A15111">
        <w:t xml:space="preserve">niversity priorities for collective impact. Some colleges and universities note that they are working to ensure their research is relevant for </w:t>
      </w:r>
      <w:r w:rsidRPr="00A15111">
        <w:lastRenderedPageBreak/>
        <w:t>the communities in which they operate, however they do not consistently provide details on what this research entails. Greater clarity around college and university visions for community engagement and transformation is needed. Related to this, phase two should also explore how efforts towards collective impact can effectively li</w:t>
      </w:r>
      <w:r w:rsidR="000D1348" w:rsidRPr="00A15111">
        <w:t>nk into college and university strategic</w:t>
      </w:r>
      <w:r w:rsidRPr="00A15111">
        <w:t xml:space="preserve"> priorities. What are the substantive links between college and university priorities for social transformation and those of other Ontario stakeholders? How can efforts to increase experiential learning, community engagement and partnerships, and the internationalization of the academic experience be formally linked into collective impact initiatives? </w:t>
      </w:r>
    </w:p>
    <w:p w14:paraId="4E5B11FD" w14:textId="70D6BC4A" w:rsidR="00820614" w:rsidRPr="00A15111" w:rsidRDefault="00DD102A" w:rsidP="00820614">
      <w:r w:rsidRPr="00A15111">
        <w:t>Phase two of OCIC’s collective impact initiative will seek to answer these questions, and others, with the aim of identifying</w:t>
      </w:r>
      <w:r w:rsidR="00983F27" w:rsidRPr="00A15111">
        <w:t xml:space="preserve"> concrete steps among CSOs and </w:t>
      </w:r>
      <w:r w:rsidRPr="00A15111">
        <w:t>M</w:t>
      </w:r>
      <w:r w:rsidR="00983F27" w:rsidRPr="00A15111">
        <w:t>C</w:t>
      </w:r>
      <w:r w:rsidRPr="00A15111">
        <w:t>Us to realize sustainable development and social transformation in Ontario</w:t>
      </w:r>
      <w:r w:rsidR="000D1348" w:rsidRPr="00A15111">
        <w:t xml:space="preserve"> and abroad</w:t>
      </w:r>
      <w:r w:rsidRPr="00A15111">
        <w:t xml:space="preserve">. </w:t>
      </w:r>
    </w:p>
    <w:p w14:paraId="4F8463E7" w14:textId="7A2AF784" w:rsidR="00545A9A" w:rsidRPr="00122BE4" w:rsidRDefault="00545A9A" w:rsidP="00200558">
      <w:pPr>
        <w:rPr>
          <w:b/>
          <w:color w:val="7030A0"/>
        </w:rPr>
      </w:pPr>
    </w:p>
    <w:sectPr w:rsidR="00545A9A" w:rsidRPr="00122BE4" w:rsidSect="00033E24">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79AF" w14:textId="77777777" w:rsidR="00255F7B" w:rsidRDefault="00255F7B" w:rsidP="00820614">
      <w:pPr>
        <w:spacing w:after="0" w:line="240" w:lineRule="auto"/>
      </w:pPr>
      <w:r>
        <w:separator/>
      </w:r>
    </w:p>
  </w:endnote>
  <w:endnote w:type="continuationSeparator" w:id="0">
    <w:p w14:paraId="20C4270C" w14:textId="77777777" w:rsidR="00255F7B" w:rsidRDefault="00255F7B" w:rsidP="0082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9869" w14:textId="77777777" w:rsidR="00DD1587" w:rsidRDefault="00DD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695973"/>
      <w:docPartObj>
        <w:docPartGallery w:val="Page Numbers (Bottom of Page)"/>
        <w:docPartUnique/>
      </w:docPartObj>
    </w:sdtPr>
    <w:sdtEndPr>
      <w:rPr>
        <w:noProof/>
      </w:rPr>
    </w:sdtEndPr>
    <w:sdtContent>
      <w:p w14:paraId="683C8D23" w14:textId="2848B57E" w:rsidR="00DD1587" w:rsidRDefault="00DD1587">
        <w:pPr>
          <w:pStyle w:val="Footer"/>
          <w:jc w:val="right"/>
        </w:pPr>
        <w:r>
          <w:rPr>
            <w:noProof/>
            <w:lang w:eastAsia="en-CA"/>
          </w:rPr>
          <w:drawing>
            <wp:anchor distT="0" distB="0" distL="114300" distR="114300" simplePos="0" relativeHeight="251671552" behindDoc="1" locked="0" layoutInCell="1" allowOverlap="1" wp14:anchorId="3C6A2642" wp14:editId="250CBA31">
              <wp:simplePos x="0" y="0"/>
              <wp:positionH relativeFrom="margin">
                <wp:posOffset>5632108</wp:posOffset>
              </wp:positionH>
              <wp:positionV relativeFrom="bottomMargin">
                <wp:posOffset>10795</wp:posOffset>
              </wp:positionV>
              <wp:extent cx="474785" cy="474785"/>
              <wp:effectExtent l="0" t="0" r="190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 Wheel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474785" cy="474785"/>
                      </a:xfrm>
                      <a:prstGeom prst="rect">
                        <a:avLst/>
                      </a:prstGeom>
                    </pic:spPr>
                  </pic:pic>
                </a:graphicData>
              </a:graphic>
              <wp14:sizeRelH relativeFrom="margin">
                <wp14:pctWidth>0</wp14:pctWidth>
              </wp14:sizeRelH>
              <wp14:sizeRelV relativeFrom="margin">
                <wp14:pctHeight>0</wp14:pctHeight>
              </wp14:sizeRelV>
            </wp:anchor>
          </w:drawing>
        </w:r>
      </w:p>
      <w:p w14:paraId="70F2CC9D" w14:textId="52B942E9" w:rsidR="00DD1587" w:rsidRDefault="00DD1587">
        <w:pPr>
          <w:pStyle w:val="Footer"/>
          <w:jc w:val="right"/>
        </w:pPr>
        <w:r>
          <w:fldChar w:fldCharType="begin"/>
        </w:r>
        <w:r>
          <w:instrText xml:space="preserve"> PAGE   \* MERGEFORMAT </w:instrText>
        </w:r>
        <w:r>
          <w:fldChar w:fldCharType="separate"/>
        </w:r>
        <w:r w:rsidR="004F5491">
          <w:rPr>
            <w:noProof/>
          </w:rPr>
          <w:t>1</w:t>
        </w:r>
        <w:r>
          <w:rPr>
            <w:noProof/>
          </w:rPr>
          <w:fldChar w:fldCharType="end"/>
        </w:r>
      </w:p>
    </w:sdtContent>
  </w:sdt>
  <w:p w14:paraId="2943F3C2" w14:textId="0C87EC43" w:rsidR="00DD1587" w:rsidRDefault="00DD1587" w:rsidP="00EB34F5">
    <w:pPr>
      <w:pStyle w:val="Footer"/>
      <w:tabs>
        <w:tab w:val="clear" w:pos="4680"/>
      </w:tabs>
    </w:pPr>
    <w:r>
      <w:rPr>
        <w:noProof/>
        <w:lang w:eastAsia="en-CA"/>
      </w:rPr>
      <mc:AlternateContent>
        <mc:Choice Requires="wps">
          <w:drawing>
            <wp:anchor distT="0" distB="0" distL="114300" distR="114300" simplePos="0" relativeHeight="251673600" behindDoc="0" locked="0" layoutInCell="1" allowOverlap="1" wp14:anchorId="389DC508" wp14:editId="108C9193">
              <wp:simplePos x="0" y="0"/>
              <wp:positionH relativeFrom="margin">
                <wp:posOffset>0</wp:posOffset>
              </wp:positionH>
              <wp:positionV relativeFrom="page">
                <wp:posOffset>9595262</wp:posOffset>
              </wp:positionV>
              <wp:extent cx="55530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553075" cy="0"/>
                      </a:xfrm>
                      <a:prstGeom prst="line">
                        <a:avLst/>
                      </a:prstGeom>
                      <a:ln>
                        <a:solidFill>
                          <a:srgbClr val="008D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732544C" id="Straight Connector 2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55.55pt" to="437.25pt,7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" strokecolor="#008d7f" strokeweight=".5pt">
              <v:stroke joinstyle="miter"/>
              <w10:wrap anchorx="margin" anchory="page"/>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DB5E" w14:textId="77777777" w:rsidR="00DD1587" w:rsidRDefault="00DD15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57360"/>
      <w:docPartObj>
        <w:docPartGallery w:val="Page Numbers (Bottom of Page)"/>
        <w:docPartUnique/>
      </w:docPartObj>
    </w:sdtPr>
    <w:sdtEndPr>
      <w:rPr>
        <w:noProof/>
      </w:rPr>
    </w:sdtEndPr>
    <w:sdtContent>
      <w:p w14:paraId="1ED8585B" w14:textId="725292E9" w:rsidR="00DD1587" w:rsidRDefault="00DD1587">
        <w:pPr>
          <w:pStyle w:val="Footer"/>
          <w:jc w:val="right"/>
        </w:pPr>
        <w:r>
          <w:rPr>
            <w:noProof/>
            <w:lang w:eastAsia="en-CA"/>
          </w:rPr>
          <w:drawing>
            <wp:anchor distT="0" distB="0" distL="114300" distR="114300" simplePos="0" relativeHeight="251675648" behindDoc="1" locked="0" layoutInCell="1" allowOverlap="1" wp14:anchorId="1546DB2C" wp14:editId="7739A682">
              <wp:simplePos x="0" y="0"/>
              <wp:positionH relativeFrom="margin">
                <wp:posOffset>7884605</wp:posOffset>
              </wp:positionH>
              <wp:positionV relativeFrom="bottomMargin">
                <wp:posOffset>2078</wp:posOffset>
              </wp:positionV>
              <wp:extent cx="523875" cy="5238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 Wheel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p w14:paraId="4F26AC5B" w14:textId="7D6E97B8" w:rsidR="00DD1587" w:rsidRDefault="00DD1587">
        <w:pPr>
          <w:pStyle w:val="Footer"/>
          <w:jc w:val="right"/>
        </w:pPr>
        <w:r>
          <w:fldChar w:fldCharType="begin"/>
        </w:r>
        <w:r>
          <w:instrText xml:space="preserve"> PAGE   \* MERGEFORMAT </w:instrText>
        </w:r>
        <w:r>
          <w:fldChar w:fldCharType="separate"/>
        </w:r>
        <w:r w:rsidR="004F5491">
          <w:rPr>
            <w:noProof/>
          </w:rPr>
          <w:t>16</w:t>
        </w:r>
        <w:r>
          <w:rPr>
            <w:noProof/>
          </w:rPr>
          <w:fldChar w:fldCharType="end"/>
        </w:r>
      </w:p>
    </w:sdtContent>
  </w:sdt>
  <w:p w14:paraId="645993CA" w14:textId="16BF7A90" w:rsidR="00DD1587" w:rsidRDefault="00DD1587">
    <w:pPr>
      <w:pStyle w:val="Footer"/>
    </w:pPr>
    <w:r>
      <w:rPr>
        <w:noProof/>
        <w:lang w:eastAsia="en-CA"/>
      </w:rPr>
      <mc:AlternateContent>
        <mc:Choice Requires="wps">
          <w:drawing>
            <wp:anchor distT="0" distB="0" distL="114300" distR="114300" simplePos="0" relativeHeight="251677696" behindDoc="0" locked="0" layoutInCell="1" allowOverlap="1" wp14:anchorId="4B87EE4B" wp14:editId="10F2EA03">
              <wp:simplePos x="0" y="0"/>
              <wp:positionH relativeFrom="column">
                <wp:posOffset>-130629</wp:posOffset>
              </wp:positionH>
              <wp:positionV relativeFrom="page">
                <wp:posOffset>7279574</wp:posOffset>
              </wp:positionV>
              <wp:extent cx="7927975" cy="0"/>
              <wp:effectExtent l="0" t="0" r="34925" b="19050"/>
              <wp:wrapNone/>
              <wp:docPr id="24" name="Straight Connector 24"/>
              <wp:cNvGraphicFramePr/>
              <a:graphic xmlns:a="http://schemas.openxmlformats.org/drawingml/2006/main">
                <a:graphicData uri="http://schemas.microsoft.com/office/word/2010/wordprocessingShape">
                  <wps:wsp>
                    <wps:cNvCnPr/>
                    <wps:spPr>
                      <a:xfrm>
                        <a:off x="0" y="0"/>
                        <a:ext cx="7927975" cy="0"/>
                      </a:xfrm>
                      <a:prstGeom prst="line">
                        <a:avLst/>
                      </a:prstGeom>
                      <a:ln>
                        <a:solidFill>
                          <a:srgbClr val="008D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68F29F" id="Straight Connector 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0.3pt,573.2pt" to="613.95pt,5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" strokecolor="#008d7f" strokeweight=".5pt">
              <v:stroke joinstyle="miter"/>
              <w10:wrap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8651"/>
      <w:docPartObj>
        <w:docPartGallery w:val="Page Numbers (Bottom of Page)"/>
        <w:docPartUnique/>
      </w:docPartObj>
    </w:sdtPr>
    <w:sdtEndPr>
      <w:rPr>
        <w:noProof/>
      </w:rPr>
    </w:sdtEndPr>
    <w:sdtContent>
      <w:p w14:paraId="7935259B" w14:textId="77777777" w:rsidR="00DD1587" w:rsidRDefault="00DD1587">
        <w:pPr>
          <w:pStyle w:val="Footer"/>
          <w:jc w:val="right"/>
        </w:pPr>
      </w:p>
      <w:p w14:paraId="390F712E" w14:textId="77777777" w:rsidR="00DD1587" w:rsidRDefault="00DD1587" w:rsidP="00372248">
        <w:pPr>
          <w:pStyle w:val="Footer"/>
          <w:jc w:val="right"/>
          <w:rPr>
            <w:noProof/>
          </w:rPr>
        </w:pPr>
        <w:r>
          <w:rPr>
            <w:noProof/>
            <w:lang w:eastAsia="en-CA"/>
          </w:rPr>
          <w:drawing>
            <wp:anchor distT="0" distB="0" distL="114300" distR="114300" simplePos="0" relativeHeight="251668480" behindDoc="1" locked="0" layoutInCell="1" allowOverlap="1" wp14:anchorId="00FE0AB9" wp14:editId="1708FFD0">
              <wp:simplePos x="0" y="0"/>
              <wp:positionH relativeFrom="margin">
                <wp:posOffset>5610225</wp:posOffset>
              </wp:positionH>
              <wp:positionV relativeFrom="bottomMargin">
                <wp:posOffset>9525</wp:posOffset>
              </wp:positionV>
              <wp:extent cx="523875" cy="5238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 Wheel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F5491">
          <w:rPr>
            <w:noProof/>
          </w:rPr>
          <w:t>19</w:t>
        </w:r>
        <w:r>
          <w:rPr>
            <w:noProof/>
          </w:rPr>
          <w:fldChar w:fldCharType="end"/>
        </w:r>
      </w:p>
    </w:sdtContent>
  </w:sdt>
  <w:p w14:paraId="1B49F119" w14:textId="4B272DA8" w:rsidR="00DD1587" w:rsidRDefault="00DD1587" w:rsidP="00372248">
    <w:pPr>
      <w:pStyle w:val="Footer"/>
      <w:jc w:val="right"/>
    </w:pPr>
    <w:r>
      <w:rPr>
        <w:noProof/>
        <w:lang w:eastAsia="en-CA"/>
      </w:rPr>
      <mc:AlternateContent>
        <mc:Choice Requires="wps">
          <w:drawing>
            <wp:anchor distT="0" distB="0" distL="114300" distR="114300" simplePos="0" relativeHeight="251669504" behindDoc="0" locked="0" layoutInCell="1" allowOverlap="1" wp14:anchorId="7EB30F10" wp14:editId="0CED9BD0">
              <wp:simplePos x="0" y="0"/>
              <wp:positionH relativeFrom="column">
                <wp:posOffset>-19050</wp:posOffset>
              </wp:positionH>
              <wp:positionV relativeFrom="paragraph">
                <wp:posOffset>144145</wp:posOffset>
              </wp:positionV>
              <wp:extent cx="5553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a:ln>
                        <a:solidFill>
                          <a:srgbClr val="008D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EF38346"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5pt" to="43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" strokecolor="#008d7f"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1DC0" w14:textId="77777777" w:rsidR="00255F7B" w:rsidRDefault="00255F7B" w:rsidP="00820614">
      <w:pPr>
        <w:spacing w:after="0" w:line="240" w:lineRule="auto"/>
      </w:pPr>
      <w:r>
        <w:separator/>
      </w:r>
    </w:p>
  </w:footnote>
  <w:footnote w:type="continuationSeparator" w:id="0">
    <w:p w14:paraId="4DC4FDA1" w14:textId="77777777" w:rsidR="00255F7B" w:rsidRDefault="00255F7B" w:rsidP="00820614">
      <w:pPr>
        <w:spacing w:after="0" w:line="240" w:lineRule="auto"/>
      </w:pPr>
      <w:r>
        <w:continuationSeparator/>
      </w:r>
    </w:p>
  </w:footnote>
  <w:footnote w:id="1">
    <w:p w14:paraId="0C9CB278" w14:textId="77777777" w:rsidR="00DD1587" w:rsidRPr="00A15111" w:rsidRDefault="00DD1587">
      <w:pPr>
        <w:pStyle w:val="FootnoteText"/>
        <w:rPr>
          <w:sz w:val="16"/>
          <w:szCs w:val="16"/>
        </w:rPr>
      </w:pPr>
      <w:r w:rsidRPr="001E6935">
        <w:rPr>
          <w:rStyle w:val="FootnoteReference"/>
          <w:sz w:val="16"/>
          <w:szCs w:val="16"/>
        </w:rPr>
        <w:footnoteRef/>
      </w:r>
      <w:r w:rsidRPr="001E6935">
        <w:rPr>
          <w:sz w:val="16"/>
          <w:szCs w:val="16"/>
        </w:rPr>
        <w:t xml:space="preserve"> Kania, John and Mark </w:t>
      </w:r>
      <w:r w:rsidRPr="00A15111">
        <w:rPr>
          <w:sz w:val="16"/>
          <w:szCs w:val="16"/>
        </w:rPr>
        <w:t xml:space="preserve">Kramer. (2011). “Collective Impact.” </w:t>
      </w:r>
      <w:r w:rsidRPr="00A15111">
        <w:rPr>
          <w:i/>
          <w:sz w:val="16"/>
          <w:szCs w:val="16"/>
        </w:rPr>
        <w:t xml:space="preserve">Stanford Social and Innovation Review. </w:t>
      </w:r>
      <w:r w:rsidRPr="00A15111">
        <w:rPr>
          <w:sz w:val="16"/>
          <w:szCs w:val="16"/>
        </w:rPr>
        <w:t>Winter: 36-41.</w:t>
      </w:r>
    </w:p>
  </w:footnote>
  <w:footnote w:id="2">
    <w:p w14:paraId="72776A3A" w14:textId="77777777" w:rsidR="00DD1587" w:rsidRPr="00A15111" w:rsidRDefault="00DD1587">
      <w:pPr>
        <w:pStyle w:val="FootnoteText"/>
        <w:rPr>
          <w:sz w:val="16"/>
          <w:szCs w:val="16"/>
        </w:rPr>
      </w:pPr>
      <w:r w:rsidRPr="00A15111">
        <w:rPr>
          <w:rStyle w:val="FootnoteReference"/>
          <w:sz w:val="16"/>
          <w:szCs w:val="16"/>
        </w:rPr>
        <w:footnoteRef/>
      </w:r>
      <w:r w:rsidRPr="00A15111">
        <w:rPr>
          <w:sz w:val="16"/>
          <w:szCs w:val="16"/>
        </w:rPr>
        <w:t xml:space="preserve"> The University of Waterloo’s program on international development is offered in partnership with St. Paul’s university college. </w:t>
      </w:r>
    </w:p>
  </w:footnote>
  <w:footnote w:id="3">
    <w:p w14:paraId="6A331B98" w14:textId="77777777" w:rsidR="00DD1587" w:rsidRPr="00A15111" w:rsidRDefault="00DD1587">
      <w:pPr>
        <w:pStyle w:val="FootnoteText"/>
        <w:rPr>
          <w:sz w:val="16"/>
          <w:szCs w:val="16"/>
        </w:rPr>
      </w:pPr>
      <w:r w:rsidRPr="00A15111">
        <w:rPr>
          <w:rStyle w:val="FootnoteReference"/>
          <w:sz w:val="16"/>
          <w:szCs w:val="16"/>
        </w:rPr>
        <w:footnoteRef/>
      </w:r>
      <w:r w:rsidRPr="00A15111">
        <w:rPr>
          <w:sz w:val="16"/>
          <w:szCs w:val="16"/>
        </w:rPr>
        <w:t xml:space="preserve"> Cambridge, London, Peterborough, Toronto, Thunder Bay, Region of Waterloo, and Windsor.</w:t>
      </w:r>
    </w:p>
  </w:footnote>
  <w:footnote w:id="4">
    <w:p w14:paraId="45B67F0B" w14:textId="77777777" w:rsidR="00DD1587" w:rsidRPr="00A15111" w:rsidRDefault="00DD1587" w:rsidP="00D44615">
      <w:pPr>
        <w:pStyle w:val="FootnoteText"/>
        <w:rPr>
          <w:sz w:val="16"/>
          <w:szCs w:val="16"/>
        </w:rPr>
      </w:pPr>
      <w:r w:rsidRPr="00A15111">
        <w:rPr>
          <w:rStyle w:val="FootnoteReference"/>
          <w:sz w:val="16"/>
          <w:szCs w:val="16"/>
        </w:rPr>
        <w:footnoteRef/>
      </w:r>
      <w:r w:rsidRPr="00A15111">
        <w:rPr>
          <w:sz w:val="16"/>
          <w:szCs w:val="16"/>
        </w:rPr>
        <w:t xml:space="preserve"> Cambridge, Guelph, Kingston, Kitchener, Thunder Bay, Toronto, Region of Waterloo, and Windsor. </w:t>
      </w:r>
    </w:p>
  </w:footnote>
  <w:footnote w:id="5">
    <w:p w14:paraId="0534A743" w14:textId="4A89E18F" w:rsidR="00DD1587" w:rsidRPr="00A15111" w:rsidRDefault="00DD1587" w:rsidP="00BA19AA">
      <w:pPr>
        <w:pStyle w:val="FootnoteText"/>
        <w:rPr>
          <w:sz w:val="16"/>
          <w:szCs w:val="16"/>
        </w:rPr>
      </w:pPr>
      <w:r w:rsidRPr="00A15111">
        <w:rPr>
          <w:rStyle w:val="FootnoteReference"/>
          <w:sz w:val="16"/>
          <w:szCs w:val="16"/>
        </w:rPr>
        <w:footnoteRef/>
      </w:r>
      <w:r w:rsidRPr="00A15111">
        <w:rPr>
          <w:sz w:val="16"/>
          <w:szCs w:val="16"/>
        </w:rPr>
        <w:t xml:space="preserve"> Cambridge, Guelph, Kingston, London, Sudbury, Thunder Bay and Ottawa.</w:t>
      </w:r>
    </w:p>
  </w:footnote>
  <w:footnote w:id="6">
    <w:p w14:paraId="51E80467" w14:textId="5B440BD8" w:rsidR="00DD1587" w:rsidRPr="00A15111" w:rsidRDefault="00DD1587" w:rsidP="00912C82">
      <w:pPr>
        <w:pStyle w:val="FootnoteText"/>
        <w:rPr>
          <w:sz w:val="16"/>
          <w:szCs w:val="16"/>
        </w:rPr>
      </w:pPr>
      <w:r w:rsidRPr="00A15111">
        <w:rPr>
          <w:rStyle w:val="FootnoteReference"/>
          <w:sz w:val="16"/>
          <w:szCs w:val="16"/>
        </w:rPr>
        <w:footnoteRef/>
      </w:r>
      <w:r w:rsidRPr="00A15111">
        <w:rPr>
          <w:sz w:val="16"/>
          <w:szCs w:val="16"/>
        </w:rPr>
        <w:t xml:space="preserve"> Kingston, Peterborough, Ottawa, Sudbury, Toronto and Windsor. </w:t>
      </w:r>
    </w:p>
  </w:footnote>
  <w:footnote w:id="7">
    <w:p w14:paraId="4CFDBC6F" w14:textId="40506AFB" w:rsidR="00DD1587" w:rsidRPr="00A15111" w:rsidRDefault="00DD1587" w:rsidP="00912C82">
      <w:pPr>
        <w:pStyle w:val="FootnoteText"/>
        <w:rPr>
          <w:sz w:val="16"/>
          <w:szCs w:val="16"/>
        </w:rPr>
      </w:pPr>
      <w:r w:rsidRPr="00A15111">
        <w:rPr>
          <w:rStyle w:val="FootnoteReference"/>
          <w:sz w:val="16"/>
          <w:szCs w:val="16"/>
        </w:rPr>
        <w:footnoteRef/>
      </w:r>
      <w:r w:rsidRPr="00A15111">
        <w:rPr>
          <w:sz w:val="16"/>
          <w:szCs w:val="16"/>
        </w:rPr>
        <w:t xml:space="preserve"> Kingston, London, Ottawa, Peterborough, Sudbury, Toronto and Windsor.</w:t>
      </w:r>
    </w:p>
  </w:footnote>
  <w:footnote w:id="8">
    <w:p w14:paraId="3D32C012" w14:textId="77777777" w:rsidR="00DD1587" w:rsidRPr="00A15111" w:rsidRDefault="00DD1587" w:rsidP="00912C82">
      <w:pPr>
        <w:pStyle w:val="FootnoteText"/>
        <w:rPr>
          <w:sz w:val="16"/>
          <w:szCs w:val="16"/>
        </w:rPr>
      </w:pPr>
      <w:r w:rsidRPr="00A15111">
        <w:rPr>
          <w:rStyle w:val="FootnoteReference"/>
          <w:sz w:val="16"/>
          <w:szCs w:val="16"/>
        </w:rPr>
        <w:footnoteRef/>
      </w:r>
      <w:r w:rsidRPr="00A15111">
        <w:rPr>
          <w:sz w:val="16"/>
          <w:szCs w:val="16"/>
        </w:rPr>
        <w:t xml:space="preserve"> Toronto has an international policy, however it is from 2002. It is unclear if it is still in use. </w:t>
      </w:r>
    </w:p>
  </w:footnote>
  <w:footnote w:id="9">
    <w:p w14:paraId="5EFF52E5" w14:textId="77777777" w:rsidR="00DD1587" w:rsidRPr="00A15111" w:rsidRDefault="00DD1587" w:rsidP="00912C82">
      <w:pPr>
        <w:pStyle w:val="FootnoteText"/>
        <w:rPr>
          <w:sz w:val="16"/>
          <w:szCs w:val="16"/>
        </w:rPr>
      </w:pPr>
      <w:r w:rsidRPr="00A15111">
        <w:rPr>
          <w:rStyle w:val="FootnoteReference"/>
          <w:sz w:val="16"/>
          <w:szCs w:val="16"/>
        </w:rPr>
        <w:footnoteRef/>
      </w:r>
      <w:r w:rsidRPr="00A15111">
        <w:rPr>
          <w:sz w:val="16"/>
          <w:szCs w:val="16"/>
        </w:rPr>
        <w:t xml:space="preserve"> Region of Waterloo, City of Waterloo, Kitchener and Cambridge.</w:t>
      </w:r>
    </w:p>
  </w:footnote>
  <w:footnote w:id="10">
    <w:p w14:paraId="09B1489B" w14:textId="77777777" w:rsidR="00DD1587" w:rsidRPr="00A15111" w:rsidRDefault="00DD1587" w:rsidP="001220CB">
      <w:pPr>
        <w:pStyle w:val="FootnoteText"/>
        <w:rPr>
          <w:sz w:val="16"/>
          <w:szCs w:val="16"/>
        </w:rPr>
      </w:pPr>
      <w:r w:rsidRPr="00A15111">
        <w:rPr>
          <w:rStyle w:val="FootnoteReference"/>
          <w:sz w:val="16"/>
          <w:szCs w:val="16"/>
        </w:rPr>
        <w:footnoteRef/>
      </w:r>
      <w:r w:rsidRPr="00A15111">
        <w:rPr>
          <w:sz w:val="16"/>
          <w:szCs w:val="16"/>
        </w:rPr>
        <w:t xml:space="preserve"> Ensure community benefits from applied research.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F2A8" w14:textId="77777777" w:rsidR="00DD1587" w:rsidRDefault="00DD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BFC0" w14:textId="77777777" w:rsidR="00DD1587" w:rsidRDefault="00DD1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8DBA" w14:textId="77777777" w:rsidR="00DD1587" w:rsidRDefault="00DD1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72E9" w14:textId="77777777" w:rsidR="00DD1587" w:rsidRDefault="00DD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D8"/>
    <w:multiLevelType w:val="hybridMultilevel"/>
    <w:tmpl w:val="132A6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D00C89"/>
    <w:multiLevelType w:val="hybridMultilevel"/>
    <w:tmpl w:val="11786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50274E"/>
    <w:multiLevelType w:val="hybridMultilevel"/>
    <w:tmpl w:val="280A6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F4DF5"/>
    <w:multiLevelType w:val="hybridMultilevel"/>
    <w:tmpl w:val="06682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05213"/>
    <w:multiLevelType w:val="hybridMultilevel"/>
    <w:tmpl w:val="D2489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3352E3"/>
    <w:multiLevelType w:val="hybridMultilevel"/>
    <w:tmpl w:val="B8401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6C6B3F"/>
    <w:multiLevelType w:val="hybridMultilevel"/>
    <w:tmpl w:val="59C0A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0B1E01"/>
    <w:multiLevelType w:val="hybridMultilevel"/>
    <w:tmpl w:val="6F4A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766530"/>
    <w:multiLevelType w:val="hybridMultilevel"/>
    <w:tmpl w:val="5C021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9DC5DA0"/>
    <w:multiLevelType w:val="hybridMultilevel"/>
    <w:tmpl w:val="D4D6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A86DBF"/>
    <w:multiLevelType w:val="hybridMultilevel"/>
    <w:tmpl w:val="86201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45899"/>
    <w:multiLevelType w:val="hybridMultilevel"/>
    <w:tmpl w:val="141E1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B30489"/>
    <w:multiLevelType w:val="hybridMultilevel"/>
    <w:tmpl w:val="4EFA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60ECF"/>
    <w:multiLevelType w:val="hybridMultilevel"/>
    <w:tmpl w:val="799CD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7A3567"/>
    <w:multiLevelType w:val="hybridMultilevel"/>
    <w:tmpl w:val="FB802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5D503A"/>
    <w:multiLevelType w:val="hybridMultilevel"/>
    <w:tmpl w:val="F6BC11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E73AA0"/>
    <w:multiLevelType w:val="hybridMultilevel"/>
    <w:tmpl w:val="8D568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3B20EE3"/>
    <w:multiLevelType w:val="hybridMultilevel"/>
    <w:tmpl w:val="9CE20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765A50"/>
    <w:multiLevelType w:val="hybridMultilevel"/>
    <w:tmpl w:val="EC701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DD10AA"/>
    <w:multiLevelType w:val="hybridMultilevel"/>
    <w:tmpl w:val="9EE2E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D06449"/>
    <w:multiLevelType w:val="hybridMultilevel"/>
    <w:tmpl w:val="DD5E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087F1A"/>
    <w:multiLevelType w:val="hybridMultilevel"/>
    <w:tmpl w:val="1040CE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629033C"/>
    <w:multiLevelType w:val="hybridMultilevel"/>
    <w:tmpl w:val="8C2CD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73216B"/>
    <w:multiLevelType w:val="hybridMultilevel"/>
    <w:tmpl w:val="EEEA4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D75764"/>
    <w:multiLevelType w:val="hybridMultilevel"/>
    <w:tmpl w:val="DEB6A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A36F10"/>
    <w:multiLevelType w:val="multilevel"/>
    <w:tmpl w:val="0070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E3685"/>
    <w:multiLevelType w:val="hybridMultilevel"/>
    <w:tmpl w:val="7C88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B0776E"/>
    <w:multiLevelType w:val="hybridMultilevel"/>
    <w:tmpl w:val="A89E3278"/>
    <w:lvl w:ilvl="0" w:tplc="049E62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7"/>
  </w:num>
  <w:num w:numId="5">
    <w:abstractNumId w:val="21"/>
  </w:num>
  <w:num w:numId="6">
    <w:abstractNumId w:val="2"/>
  </w:num>
  <w:num w:numId="7">
    <w:abstractNumId w:val="5"/>
  </w:num>
  <w:num w:numId="8">
    <w:abstractNumId w:val="1"/>
  </w:num>
  <w:num w:numId="9">
    <w:abstractNumId w:val="25"/>
  </w:num>
  <w:num w:numId="10">
    <w:abstractNumId w:val="7"/>
  </w:num>
  <w:num w:numId="11">
    <w:abstractNumId w:val="26"/>
  </w:num>
  <w:num w:numId="12">
    <w:abstractNumId w:val="23"/>
  </w:num>
  <w:num w:numId="13">
    <w:abstractNumId w:val="22"/>
  </w:num>
  <w:num w:numId="14">
    <w:abstractNumId w:val="14"/>
  </w:num>
  <w:num w:numId="15">
    <w:abstractNumId w:val="8"/>
  </w:num>
  <w:num w:numId="16">
    <w:abstractNumId w:val="16"/>
  </w:num>
  <w:num w:numId="17">
    <w:abstractNumId w:val="9"/>
  </w:num>
  <w:num w:numId="18">
    <w:abstractNumId w:val="11"/>
  </w:num>
  <w:num w:numId="19">
    <w:abstractNumId w:val="4"/>
  </w:num>
  <w:num w:numId="20">
    <w:abstractNumId w:val="10"/>
  </w:num>
  <w:num w:numId="21">
    <w:abstractNumId w:val="20"/>
  </w:num>
  <w:num w:numId="22">
    <w:abstractNumId w:val="17"/>
  </w:num>
  <w:num w:numId="23">
    <w:abstractNumId w:val="18"/>
  </w:num>
  <w:num w:numId="24">
    <w:abstractNumId w:val="0"/>
  </w:num>
  <w:num w:numId="25">
    <w:abstractNumId w:val="24"/>
  </w:num>
  <w:num w:numId="26">
    <w:abstractNumId w:val="19"/>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54"/>
    <w:rsid w:val="0001033C"/>
    <w:rsid w:val="00033E24"/>
    <w:rsid w:val="00090F61"/>
    <w:rsid w:val="000937F3"/>
    <w:rsid w:val="000A0637"/>
    <w:rsid w:val="000A4EA7"/>
    <w:rsid w:val="000B106C"/>
    <w:rsid w:val="000B7752"/>
    <w:rsid w:val="000D1348"/>
    <w:rsid w:val="000D3EFC"/>
    <w:rsid w:val="000F6636"/>
    <w:rsid w:val="0010161A"/>
    <w:rsid w:val="001220CB"/>
    <w:rsid w:val="00122BE4"/>
    <w:rsid w:val="00126F38"/>
    <w:rsid w:val="001437A6"/>
    <w:rsid w:val="0014536A"/>
    <w:rsid w:val="001574FE"/>
    <w:rsid w:val="00164883"/>
    <w:rsid w:val="001837CA"/>
    <w:rsid w:val="00183B7A"/>
    <w:rsid w:val="001E2C93"/>
    <w:rsid w:val="001E3E0C"/>
    <w:rsid w:val="001E6935"/>
    <w:rsid w:val="001F7569"/>
    <w:rsid w:val="00200558"/>
    <w:rsid w:val="00201551"/>
    <w:rsid w:val="00240C14"/>
    <w:rsid w:val="00252511"/>
    <w:rsid w:val="00255F7B"/>
    <w:rsid w:val="00257DD0"/>
    <w:rsid w:val="00282CBC"/>
    <w:rsid w:val="002A46C8"/>
    <w:rsid w:val="002B3DBA"/>
    <w:rsid w:val="00320C54"/>
    <w:rsid w:val="00353E6F"/>
    <w:rsid w:val="00353EE1"/>
    <w:rsid w:val="003559C9"/>
    <w:rsid w:val="00372248"/>
    <w:rsid w:val="003756A0"/>
    <w:rsid w:val="00382C1E"/>
    <w:rsid w:val="00383EAF"/>
    <w:rsid w:val="003B0524"/>
    <w:rsid w:val="003B46E4"/>
    <w:rsid w:val="003C3712"/>
    <w:rsid w:val="003D79B5"/>
    <w:rsid w:val="003E569A"/>
    <w:rsid w:val="003E5ABB"/>
    <w:rsid w:val="003F7219"/>
    <w:rsid w:val="0041457E"/>
    <w:rsid w:val="00432A00"/>
    <w:rsid w:val="00471C9A"/>
    <w:rsid w:val="00495E4D"/>
    <w:rsid w:val="004A4654"/>
    <w:rsid w:val="004A7C5C"/>
    <w:rsid w:val="004B39A6"/>
    <w:rsid w:val="004B72EC"/>
    <w:rsid w:val="004D1C4D"/>
    <w:rsid w:val="004F5491"/>
    <w:rsid w:val="00506F0C"/>
    <w:rsid w:val="005136E7"/>
    <w:rsid w:val="00526602"/>
    <w:rsid w:val="00545A9A"/>
    <w:rsid w:val="00586A6D"/>
    <w:rsid w:val="005904F2"/>
    <w:rsid w:val="005A5C2A"/>
    <w:rsid w:val="005B01B0"/>
    <w:rsid w:val="005E089C"/>
    <w:rsid w:val="005E4F8B"/>
    <w:rsid w:val="006401EB"/>
    <w:rsid w:val="00647977"/>
    <w:rsid w:val="00673AEC"/>
    <w:rsid w:val="006878DB"/>
    <w:rsid w:val="006D6D3F"/>
    <w:rsid w:val="006F097F"/>
    <w:rsid w:val="006F24B3"/>
    <w:rsid w:val="006F2B02"/>
    <w:rsid w:val="006F3E8A"/>
    <w:rsid w:val="00716364"/>
    <w:rsid w:val="00716DFE"/>
    <w:rsid w:val="00740CD9"/>
    <w:rsid w:val="00742935"/>
    <w:rsid w:val="007434E7"/>
    <w:rsid w:val="007476D1"/>
    <w:rsid w:val="007577FA"/>
    <w:rsid w:val="00775FD7"/>
    <w:rsid w:val="007B351D"/>
    <w:rsid w:val="007B615D"/>
    <w:rsid w:val="007C3E35"/>
    <w:rsid w:val="007D595C"/>
    <w:rsid w:val="007E5137"/>
    <w:rsid w:val="007E7348"/>
    <w:rsid w:val="00806D84"/>
    <w:rsid w:val="00812953"/>
    <w:rsid w:val="00816267"/>
    <w:rsid w:val="00820614"/>
    <w:rsid w:val="008604BB"/>
    <w:rsid w:val="00861131"/>
    <w:rsid w:val="00863C1D"/>
    <w:rsid w:val="00896602"/>
    <w:rsid w:val="008B1765"/>
    <w:rsid w:val="008D1799"/>
    <w:rsid w:val="008E2AC4"/>
    <w:rsid w:val="008E3742"/>
    <w:rsid w:val="008E54F9"/>
    <w:rsid w:val="008F0912"/>
    <w:rsid w:val="00912C82"/>
    <w:rsid w:val="00920E74"/>
    <w:rsid w:val="009307E2"/>
    <w:rsid w:val="00942EF5"/>
    <w:rsid w:val="00967167"/>
    <w:rsid w:val="0097518B"/>
    <w:rsid w:val="00977DF8"/>
    <w:rsid w:val="00983F27"/>
    <w:rsid w:val="009B78A5"/>
    <w:rsid w:val="009D1E21"/>
    <w:rsid w:val="00A15111"/>
    <w:rsid w:val="00A15CF0"/>
    <w:rsid w:val="00A60146"/>
    <w:rsid w:val="00A67403"/>
    <w:rsid w:val="00A75818"/>
    <w:rsid w:val="00A80168"/>
    <w:rsid w:val="00AA2113"/>
    <w:rsid w:val="00AB3EAD"/>
    <w:rsid w:val="00AC1875"/>
    <w:rsid w:val="00AC4FD5"/>
    <w:rsid w:val="00AE2107"/>
    <w:rsid w:val="00B57CE5"/>
    <w:rsid w:val="00B647AF"/>
    <w:rsid w:val="00B90E32"/>
    <w:rsid w:val="00B93049"/>
    <w:rsid w:val="00BA19AA"/>
    <w:rsid w:val="00BD78C8"/>
    <w:rsid w:val="00BE6D9E"/>
    <w:rsid w:val="00C15953"/>
    <w:rsid w:val="00C2308E"/>
    <w:rsid w:val="00C353FA"/>
    <w:rsid w:val="00C57B07"/>
    <w:rsid w:val="00CC7274"/>
    <w:rsid w:val="00CD3247"/>
    <w:rsid w:val="00CD6EFF"/>
    <w:rsid w:val="00D0332C"/>
    <w:rsid w:val="00D11D78"/>
    <w:rsid w:val="00D14DFE"/>
    <w:rsid w:val="00D217B0"/>
    <w:rsid w:val="00D31239"/>
    <w:rsid w:val="00D44615"/>
    <w:rsid w:val="00DC3614"/>
    <w:rsid w:val="00DD102A"/>
    <w:rsid w:val="00DD1587"/>
    <w:rsid w:val="00DE78DC"/>
    <w:rsid w:val="00E4004A"/>
    <w:rsid w:val="00E63B6B"/>
    <w:rsid w:val="00E7755B"/>
    <w:rsid w:val="00E973FA"/>
    <w:rsid w:val="00EB34F5"/>
    <w:rsid w:val="00EB3F02"/>
    <w:rsid w:val="00EB65E5"/>
    <w:rsid w:val="00EC2F31"/>
    <w:rsid w:val="00ED4A67"/>
    <w:rsid w:val="00F13ECA"/>
    <w:rsid w:val="00F302B3"/>
    <w:rsid w:val="00F45C9F"/>
    <w:rsid w:val="00F468EF"/>
    <w:rsid w:val="00F57C5D"/>
    <w:rsid w:val="00F60BCD"/>
    <w:rsid w:val="00F63397"/>
    <w:rsid w:val="00F6600A"/>
    <w:rsid w:val="00FA26FC"/>
    <w:rsid w:val="00FA2C27"/>
    <w:rsid w:val="00FA4107"/>
    <w:rsid w:val="00FA639E"/>
    <w:rsid w:val="00FA6854"/>
    <w:rsid w:val="00FB6918"/>
    <w:rsid w:val="00FF6C42"/>
    <w:rsid w:val="00FF7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1345"/>
  <w15:chartTrackingRefBased/>
  <w15:docId w15:val="{4798D534-408C-45E3-BC3C-18633C06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FE"/>
    <w:rPr>
      <w:rFonts w:asciiTheme="majorHAnsi" w:hAnsiTheme="majorHAnsi"/>
    </w:rPr>
  </w:style>
  <w:style w:type="paragraph" w:styleId="Heading1">
    <w:name w:val="heading 1"/>
    <w:basedOn w:val="Normal"/>
    <w:next w:val="Normal"/>
    <w:link w:val="Heading1Char"/>
    <w:uiPriority w:val="9"/>
    <w:qFormat/>
    <w:rsid w:val="00716DFE"/>
    <w:pPr>
      <w:outlineLvl w:val="0"/>
    </w:pPr>
    <w:rPr>
      <w:rFonts w:ascii="Calibri Light" w:hAnsi="Calibri Light"/>
      <w:color w:val="008D7F"/>
      <w:sz w:val="28"/>
    </w:rPr>
  </w:style>
  <w:style w:type="paragraph" w:styleId="Heading2">
    <w:name w:val="heading 2"/>
    <w:basedOn w:val="Normal"/>
    <w:next w:val="Normal"/>
    <w:link w:val="Heading2Char"/>
    <w:uiPriority w:val="9"/>
    <w:unhideWhenUsed/>
    <w:qFormat/>
    <w:rsid w:val="00716DFE"/>
    <w:pPr>
      <w:outlineLvl w:val="1"/>
    </w:pPr>
    <w:rPr>
      <w:i/>
      <w:color w:val="F68A33"/>
      <w:sz w:val="24"/>
    </w:rPr>
  </w:style>
  <w:style w:type="paragraph" w:styleId="Heading3">
    <w:name w:val="heading 3"/>
    <w:basedOn w:val="Normal"/>
    <w:link w:val="Heading3Char"/>
    <w:uiPriority w:val="9"/>
    <w:qFormat/>
    <w:rsid w:val="00716DFE"/>
    <w:pPr>
      <w:spacing w:after="0"/>
      <w:outlineLvl w:val="2"/>
    </w:pPr>
    <w:rPr>
      <w:color w:val="F68A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C4"/>
    <w:pPr>
      <w:ind w:left="720"/>
      <w:contextualSpacing/>
    </w:pPr>
  </w:style>
  <w:style w:type="paragraph" w:styleId="Header">
    <w:name w:val="header"/>
    <w:basedOn w:val="Normal"/>
    <w:link w:val="HeaderChar"/>
    <w:uiPriority w:val="99"/>
    <w:unhideWhenUsed/>
    <w:rsid w:val="0082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14"/>
  </w:style>
  <w:style w:type="paragraph" w:styleId="Footer">
    <w:name w:val="footer"/>
    <w:basedOn w:val="Normal"/>
    <w:link w:val="FooterChar"/>
    <w:uiPriority w:val="99"/>
    <w:unhideWhenUsed/>
    <w:rsid w:val="0082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14"/>
  </w:style>
  <w:style w:type="character" w:styleId="Hyperlink">
    <w:name w:val="Hyperlink"/>
    <w:basedOn w:val="DefaultParagraphFont"/>
    <w:uiPriority w:val="99"/>
    <w:unhideWhenUsed/>
    <w:rsid w:val="00DE78DC"/>
    <w:rPr>
      <w:color w:val="0563C1" w:themeColor="hyperlink"/>
      <w:u w:val="single"/>
    </w:rPr>
  </w:style>
  <w:style w:type="character" w:customStyle="1" w:styleId="Heading3Char">
    <w:name w:val="Heading 3 Char"/>
    <w:basedOn w:val="DefaultParagraphFont"/>
    <w:link w:val="Heading3"/>
    <w:uiPriority w:val="9"/>
    <w:rsid w:val="00716DFE"/>
    <w:rPr>
      <w:rFonts w:asciiTheme="majorHAnsi" w:hAnsiTheme="majorHAnsi"/>
      <w:color w:val="F68A33"/>
      <w:sz w:val="24"/>
    </w:rPr>
  </w:style>
  <w:style w:type="character" w:customStyle="1" w:styleId="apple-converted-space">
    <w:name w:val="apple-converted-space"/>
    <w:basedOn w:val="DefaultParagraphFont"/>
    <w:rsid w:val="008B1765"/>
  </w:style>
  <w:style w:type="paragraph" w:styleId="NormalWeb">
    <w:name w:val="Normal (Web)"/>
    <w:basedOn w:val="Normal"/>
    <w:uiPriority w:val="99"/>
    <w:semiHidden/>
    <w:unhideWhenUsed/>
    <w:rsid w:val="008B17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1765"/>
    <w:rPr>
      <w:b/>
      <w:bCs/>
    </w:rPr>
  </w:style>
  <w:style w:type="character" w:styleId="Emphasis">
    <w:name w:val="Emphasis"/>
    <w:basedOn w:val="DefaultParagraphFont"/>
    <w:uiPriority w:val="20"/>
    <w:qFormat/>
    <w:rsid w:val="008B1765"/>
    <w:rPr>
      <w:i/>
      <w:iCs/>
    </w:rPr>
  </w:style>
  <w:style w:type="paragraph" w:styleId="FootnoteText">
    <w:name w:val="footnote text"/>
    <w:basedOn w:val="Normal"/>
    <w:link w:val="FootnoteTextChar"/>
    <w:uiPriority w:val="99"/>
    <w:semiHidden/>
    <w:unhideWhenUsed/>
    <w:rsid w:val="00B90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E32"/>
    <w:rPr>
      <w:sz w:val="20"/>
      <w:szCs w:val="20"/>
    </w:rPr>
  </w:style>
  <w:style w:type="character" w:styleId="FootnoteReference">
    <w:name w:val="footnote reference"/>
    <w:basedOn w:val="DefaultParagraphFont"/>
    <w:uiPriority w:val="99"/>
    <w:semiHidden/>
    <w:unhideWhenUsed/>
    <w:rsid w:val="00B90E32"/>
    <w:rPr>
      <w:vertAlign w:val="superscript"/>
    </w:rPr>
  </w:style>
  <w:style w:type="table" w:styleId="TableGrid">
    <w:name w:val="Table Grid"/>
    <w:basedOn w:val="TableNormal"/>
    <w:uiPriority w:val="39"/>
    <w:rsid w:val="003F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6DFE"/>
    <w:rPr>
      <w:rFonts w:ascii="Calibri Light" w:hAnsi="Calibri Light"/>
      <w:color w:val="008D7F"/>
      <w:sz w:val="28"/>
    </w:rPr>
  </w:style>
  <w:style w:type="character" w:customStyle="1" w:styleId="Heading2Char">
    <w:name w:val="Heading 2 Char"/>
    <w:basedOn w:val="DefaultParagraphFont"/>
    <w:link w:val="Heading2"/>
    <w:uiPriority w:val="9"/>
    <w:rsid w:val="00716DFE"/>
    <w:rPr>
      <w:rFonts w:asciiTheme="majorHAnsi" w:hAnsiTheme="majorHAnsi"/>
      <w:i/>
      <w:color w:val="F68A33"/>
      <w:sz w:val="24"/>
    </w:rPr>
  </w:style>
  <w:style w:type="paragraph" w:styleId="BalloonText">
    <w:name w:val="Balloon Text"/>
    <w:basedOn w:val="Normal"/>
    <w:link w:val="BalloonTextChar"/>
    <w:uiPriority w:val="99"/>
    <w:semiHidden/>
    <w:unhideWhenUsed/>
    <w:rsid w:val="001E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93"/>
    <w:rPr>
      <w:rFonts w:ascii="Segoe UI" w:hAnsi="Segoe UI" w:cs="Segoe UI"/>
      <w:sz w:val="18"/>
      <w:szCs w:val="18"/>
    </w:rPr>
  </w:style>
  <w:style w:type="paragraph" w:styleId="TOCHeading">
    <w:name w:val="TOC Heading"/>
    <w:basedOn w:val="Heading1"/>
    <w:next w:val="Normal"/>
    <w:uiPriority w:val="39"/>
    <w:unhideWhenUsed/>
    <w:qFormat/>
    <w:rsid w:val="001E2C93"/>
    <w:pPr>
      <w:keepNext/>
      <w:keepLines/>
      <w:spacing w:before="240" w:after="0"/>
      <w:outlineLvl w:val="9"/>
    </w:pPr>
    <w:rPr>
      <w:rFonts w:asciiTheme="majorHAnsi" w:eastAsiaTheme="majorEastAsia" w:hAnsiTheme="majorHAnsi" w:cstheme="majorBidi"/>
      <w:b/>
      <w:color w:val="2E74B5" w:themeColor="accent1" w:themeShade="BF"/>
      <w:sz w:val="32"/>
      <w:szCs w:val="32"/>
      <w:lang w:val="en-US"/>
    </w:rPr>
  </w:style>
  <w:style w:type="paragraph" w:styleId="TOC1">
    <w:name w:val="toc 1"/>
    <w:basedOn w:val="Normal"/>
    <w:next w:val="Normal"/>
    <w:autoRedefine/>
    <w:uiPriority w:val="39"/>
    <w:unhideWhenUsed/>
    <w:rsid w:val="001E2C93"/>
    <w:pPr>
      <w:spacing w:after="100"/>
    </w:pPr>
  </w:style>
  <w:style w:type="paragraph" w:styleId="TOC2">
    <w:name w:val="toc 2"/>
    <w:basedOn w:val="Normal"/>
    <w:next w:val="Normal"/>
    <w:autoRedefine/>
    <w:uiPriority w:val="39"/>
    <w:unhideWhenUsed/>
    <w:rsid w:val="001E2C93"/>
    <w:pPr>
      <w:spacing w:after="100"/>
      <w:ind w:left="220"/>
    </w:pPr>
  </w:style>
  <w:style w:type="character" w:styleId="FollowedHyperlink">
    <w:name w:val="FollowedHyperlink"/>
    <w:basedOn w:val="DefaultParagraphFont"/>
    <w:uiPriority w:val="99"/>
    <w:semiHidden/>
    <w:unhideWhenUsed/>
    <w:rsid w:val="0014536A"/>
    <w:rPr>
      <w:color w:val="954F72" w:themeColor="followedHyperlink"/>
      <w:u w:val="single"/>
    </w:rPr>
  </w:style>
  <w:style w:type="character" w:styleId="CommentReference">
    <w:name w:val="annotation reference"/>
    <w:basedOn w:val="DefaultParagraphFont"/>
    <w:uiPriority w:val="99"/>
    <w:semiHidden/>
    <w:unhideWhenUsed/>
    <w:rsid w:val="004B39A6"/>
    <w:rPr>
      <w:sz w:val="16"/>
      <w:szCs w:val="16"/>
    </w:rPr>
  </w:style>
  <w:style w:type="paragraph" w:styleId="CommentText">
    <w:name w:val="annotation text"/>
    <w:basedOn w:val="Normal"/>
    <w:link w:val="CommentTextChar"/>
    <w:uiPriority w:val="99"/>
    <w:semiHidden/>
    <w:unhideWhenUsed/>
    <w:rsid w:val="004B39A6"/>
    <w:pPr>
      <w:spacing w:line="240" w:lineRule="auto"/>
    </w:pPr>
    <w:rPr>
      <w:sz w:val="20"/>
      <w:szCs w:val="20"/>
    </w:rPr>
  </w:style>
  <w:style w:type="character" w:customStyle="1" w:styleId="CommentTextChar">
    <w:name w:val="Comment Text Char"/>
    <w:basedOn w:val="DefaultParagraphFont"/>
    <w:link w:val="CommentText"/>
    <w:uiPriority w:val="99"/>
    <w:semiHidden/>
    <w:rsid w:val="004B39A6"/>
    <w:rPr>
      <w:sz w:val="20"/>
      <w:szCs w:val="20"/>
    </w:rPr>
  </w:style>
  <w:style w:type="paragraph" w:styleId="CommentSubject">
    <w:name w:val="annotation subject"/>
    <w:basedOn w:val="CommentText"/>
    <w:next w:val="CommentText"/>
    <w:link w:val="CommentSubjectChar"/>
    <w:uiPriority w:val="99"/>
    <w:semiHidden/>
    <w:unhideWhenUsed/>
    <w:rsid w:val="004B39A6"/>
    <w:rPr>
      <w:b/>
      <w:bCs/>
    </w:rPr>
  </w:style>
  <w:style w:type="character" w:customStyle="1" w:styleId="CommentSubjectChar">
    <w:name w:val="Comment Subject Char"/>
    <w:basedOn w:val="CommentTextChar"/>
    <w:link w:val="CommentSubject"/>
    <w:uiPriority w:val="99"/>
    <w:semiHidden/>
    <w:rsid w:val="004B39A6"/>
    <w:rPr>
      <w:b/>
      <w:bCs/>
      <w:sz w:val="20"/>
      <w:szCs w:val="20"/>
    </w:rPr>
  </w:style>
  <w:style w:type="paragraph" w:customStyle="1" w:styleId="Body">
    <w:name w:val="Body"/>
    <w:rsid w:val="008966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TOC3">
    <w:name w:val="toc 3"/>
    <w:basedOn w:val="Normal"/>
    <w:next w:val="Normal"/>
    <w:autoRedefine/>
    <w:uiPriority w:val="39"/>
    <w:unhideWhenUsed/>
    <w:rsid w:val="00AE2107"/>
    <w:pPr>
      <w:spacing w:after="100"/>
      <w:ind w:left="440"/>
    </w:pPr>
  </w:style>
  <w:style w:type="paragraph" w:styleId="NoSpacing">
    <w:name w:val="No Spacing"/>
    <w:uiPriority w:val="1"/>
    <w:qFormat/>
    <w:rsid w:val="000D1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733">
      <w:bodyDiv w:val="1"/>
      <w:marLeft w:val="0"/>
      <w:marRight w:val="0"/>
      <w:marTop w:val="0"/>
      <w:marBottom w:val="0"/>
      <w:divBdr>
        <w:top w:val="none" w:sz="0" w:space="0" w:color="auto"/>
        <w:left w:val="none" w:sz="0" w:space="0" w:color="auto"/>
        <w:bottom w:val="none" w:sz="0" w:space="0" w:color="auto"/>
        <w:right w:val="none" w:sz="0" w:space="0" w:color="auto"/>
      </w:divBdr>
    </w:div>
    <w:div w:id="310523690">
      <w:bodyDiv w:val="1"/>
      <w:marLeft w:val="0"/>
      <w:marRight w:val="0"/>
      <w:marTop w:val="0"/>
      <w:marBottom w:val="0"/>
      <w:divBdr>
        <w:top w:val="none" w:sz="0" w:space="0" w:color="auto"/>
        <w:left w:val="none" w:sz="0" w:space="0" w:color="auto"/>
        <w:bottom w:val="none" w:sz="0" w:space="0" w:color="auto"/>
        <w:right w:val="none" w:sz="0" w:space="0" w:color="auto"/>
      </w:divBdr>
    </w:div>
    <w:div w:id="419718313">
      <w:bodyDiv w:val="1"/>
      <w:marLeft w:val="0"/>
      <w:marRight w:val="0"/>
      <w:marTop w:val="0"/>
      <w:marBottom w:val="0"/>
      <w:divBdr>
        <w:top w:val="none" w:sz="0" w:space="0" w:color="auto"/>
        <w:left w:val="none" w:sz="0" w:space="0" w:color="auto"/>
        <w:bottom w:val="none" w:sz="0" w:space="0" w:color="auto"/>
        <w:right w:val="none" w:sz="0" w:space="0" w:color="auto"/>
      </w:divBdr>
    </w:div>
    <w:div w:id="636837228">
      <w:bodyDiv w:val="1"/>
      <w:marLeft w:val="0"/>
      <w:marRight w:val="0"/>
      <w:marTop w:val="0"/>
      <w:marBottom w:val="0"/>
      <w:divBdr>
        <w:top w:val="none" w:sz="0" w:space="0" w:color="auto"/>
        <w:left w:val="none" w:sz="0" w:space="0" w:color="auto"/>
        <w:bottom w:val="none" w:sz="0" w:space="0" w:color="auto"/>
        <w:right w:val="none" w:sz="0" w:space="0" w:color="auto"/>
      </w:divBdr>
    </w:div>
    <w:div w:id="838422338">
      <w:bodyDiv w:val="1"/>
      <w:marLeft w:val="0"/>
      <w:marRight w:val="0"/>
      <w:marTop w:val="0"/>
      <w:marBottom w:val="0"/>
      <w:divBdr>
        <w:top w:val="none" w:sz="0" w:space="0" w:color="auto"/>
        <w:left w:val="none" w:sz="0" w:space="0" w:color="auto"/>
        <w:bottom w:val="none" w:sz="0" w:space="0" w:color="auto"/>
        <w:right w:val="none" w:sz="0" w:space="0" w:color="auto"/>
      </w:divBdr>
    </w:div>
    <w:div w:id="945042893">
      <w:bodyDiv w:val="1"/>
      <w:marLeft w:val="0"/>
      <w:marRight w:val="0"/>
      <w:marTop w:val="0"/>
      <w:marBottom w:val="0"/>
      <w:divBdr>
        <w:top w:val="none" w:sz="0" w:space="0" w:color="auto"/>
        <w:left w:val="none" w:sz="0" w:space="0" w:color="auto"/>
        <w:bottom w:val="none" w:sz="0" w:space="0" w:color="auto"/>
        <w:right w:val="none" w:sz="0" w:space="0" w:color="auto"/>
      </w:divBdr>
    </w:div>
    <w:div w:id="1269045387">
      <w:bodyDiv w:val="1"/>
      <w:marLeft w:val="0"/>
      <w:marRight w:val="0"/>
      <w:marTop w:val="0"/>
      <w:marBottom w:val="0"/>
      <w:divBdr>
        <w:top w:val="none" w:sz="0" w:space="0" w:color="auto"/>
        <w:left w:val="none" w:sz="0" w:space="0" w:color="auto"/>
        <w:bottom w:val="none" w:sz="0" w:space="0" w:color="auto"/>
        <w:right w:val="none" w:sz="0" w:space="0" w:color="auto"/>
      </w:divBdr>
    </w:div>
    <w:div w:id="1773698924">
      <w:bodyDiv w:val="1"/>
      <w:marLeft w:val="0"/>
      <w:marRight w:val="0"/>
      <w:marTop w:val="0"/>
      <w:marBottom w:val="0"/>
      <w:divBdr>
        <w:top w:val="none" w:sz="0" w:space="0" w:color="auto"/>
        <w:left w:val="none" w:sz="0" w:space="0" w:color="auto"/>
        <w:bottom w:val="none" w:sz="0" w:space="0" w:color="auto"/>
        <w:right w:val="none" w:sz="0" w:space="0" w:color="auto"/>
      </w:divBdr>
    </w:div>
    <w:div w:id="1858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socialinnovation/abou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9AEF16-3ED6-46C1-ABE1-108645A6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7801</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Kindornay</dc:creator>
  <cp:keywords/>
  <dc:description/>
  <cp:lastModifiedBy>Communications</cp:lastModifiedBy>
  <cp:revision>2</cp:revision>
  <cp:lastPrinted>2016-11-14T20:31:00Z</cp:lastPrinted>
  <dcterms:created xsi:type="dcterms:W3CDTF">2016-11-21T17:13:00Z</dcterms:created>
  <dcterms:modified xsi:type="dcterms:W3CDTF">2016-11-21T17:13:00Z</dcterms:modified>
</cp:coreProperties>
</file>