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77" w:rsidRDefault="00E37377" w:rsidP="00E37377">
      <w:pPr>
        <w:rPr>
          <w:rFonts w:ascii="Tahoma" w:hAnsi="Tahoma" w:cs="Tahoma"/>
          <w:b/>
          <w:color w:val="008D7F"/>
          <w:sz w:val="24"/>
          <w:szCs w:val="24"/>
        </w:rPr>
      </w:pPr>
      <w:bookmarkStart w:id="0" w:name="_GoBack"/>
      <w:bookmarkEnd w:id="0"/>
    </w:p>
    <w:p w:rsidR="00E37377" w:rsidRDefault="00E37377" w:rsidP="00083736">
      <w:pPr>
        <w:jc w:val="center"/>
        <w:rPr>
          <w:rFonts w:ascii="Tahoma" w:hAnsi="Tahoma" w:cs="Tahoma"/>
          <w:b/>
          <w:color w:val="008D7F"/>
          <w:sz w:val="24"/>
          <w:szCs w:val="24"/>
        </w:rPr>
      </w:pPr>
      <w:r>
        <w:rPr>
          <w:noProof/>
          <w:lang w:eastAsia="en-CA"/>
        </w:rPr>
        <w:drawing>
          <wp:inline distT="0" distB="0" distL="0" distR="0" wp14:anchorId="4E41E859" wp14:editId="517B7938">
            <wp:extent cx="1216324" cy="733841"/>
            <wp:effectExtent l="0" t="0" r="3175" b="9525"/>
            <wp:docPr id="1" name="Picture 1" descr="C:\Users\Special Projects\Dropbox\OCIC Office\IDW\IDW 2013\Logos\OCIC -LOGO\Logo_with_text\Logo_with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ial Projects\Dropbox\OCIC Office\IDW\IDW 2013\Logos\OCIC -LOGO\Logo_with_text\Logo_with_te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738" cy="734091"/>
                    </a:xfrm>
                    <a:prstGeom prst="rect">
                      <a:avLst/>
                    </a:prstGeom>
                    <a:noFill/>
                    <a:ln>
                      <a:noFill/>
                    </a:ln>
                  </pic:spPr>
                </pic:pic>
              </a:graphicData>
            </a:graphic>
          </wp:inline>
        </w:drawing>
      </w:r>
    </w:p>
    <w:p w:rsidR="00E37377" w:rsidRDefault="00E37377" w:rsidP="00083736">
      <w:pPr>
        <w:jc w:val="center"/>
        <w:rPr>
          <w:rFonts w:ascii="Tahoma" w:hAnsi="Tahoma" w:cs="Tahoma"/>
          <w:b/>
          <w:color w:val="008D7F"/>
          <w:sz w:val="24"/>
          <w:szCs w:val="24"/>
        </w:rPr>
      </w:pPr>
    </w:p>
    <w:p w:rsidR="00E37377" w:rsidRDefault="00E37377" w:rsidP="00083736">
      <w:pPr>
        <w:jc w:val="center"/>
        <w:rPr>
          <w:rFonts w:ascii="Tahoma" w:hAnsi="Tahoma" w:cs="Tahoma"/>
          <w:b/>
          <w:color w:val="008D7F"/>
          <w:sz w:val="24"/>
          <w:szCs w:val="24"/>
        </w:rPr>
      </w:pPr>
    </w:p>
    <w:p w:rsidR="00083736" w:rsidRPr="00B23C56" w:rsidRDefault="00083736" w:rsidP="00083736">
      <w:pPr>
        <w:jc w:val="center"/>
        <w:rPr>
          <w:rFonts w:ascii="Tahoma" w:hAnsi="Tahoma" w:cs="Tahoma"/>
          <w:b/>
          <w:color w:val="008D7F"/>
          <w:sz w:val="24"/>
          <w:szCs w:val="24"/>
        </w:rPr>
      </w:pPr>
      <w:r w:rsidRPr="00B23C56">
        <w:rPr>
          <w:rFonts w:ascii="Tahoma" w:hAnsi="Tahoma" w:cs="Tahoma"/>
          <w:b/>
          <w:color w:val="008D7F"/>
          <w:sz w:val="24"/>
          <w:szCs w:val="24"/>
        </w:rPr>
        <w:t>‘Transformations: Stories of Partnership, Resilience and</w:t>
      </w:r>
    </w:p>
    <w:p w:rsidR="00083736" w:rsidRPr="00B23C56" w:rsidRDefault="00083736" w:rsidP="00083736">
      <w:pPr>
        <w:jc w:val="center"/>
        <w:rPr>
          <w:rFonts w:ascii="Tahoma" w:hAnsi="Tahoma" w:cs="Tahoma"/>
          <w:b/>
          <w:color w:val="008D7F"/>
          <w:sz w:val="24"/>
          <w:szCs w:val="24"/>
        </w:rPr>
      </w:pPr>
      <w:r w:rsidRPr="00B23C56">
        <w:rPr>
          <w:rFonts w:ascii="Tahoma" w:hAnsi="Tahoma" w:cs="Tahoma"/>
          <w:b/>
          <w:color w:val="008D7F"/>
          <w:sz w:val="24"/>
          <w:szCs w:val="24"/>
        </w:rPr>
        <w:t>Positive Change in Peru’</w:t>
      </w:r>
    </w:p>
    <w:p w:rsidR="00083736" w:rsidRPr="00B23C56" w:rsidRDefault="00083736" w:rsidP="00083736">
      <w:pPr>
        <w:jc w:val="center"/>
        <w:rPr>
          <w:rFonts w:ascii="Tahoma" w:hAnsi="Tahoma" w:cs="Tahoma"/>
          <w:b/>
          <w:color w:val="008D7F"/>
          <w:sz w:val="24"/>
          <w:szCs w:val="24"/>
        </w:rPr>
      </w:pPr>
      <w:r w:rsidRPr="00B23C56">
        <w:rPr>
          <w:rFonts w:ascii="Tahoma" w:hAnsi="Tahoma" w:cs="Tahoma"/>
          <w:b/>
          <w:color w:val="008D7F"/>
          <w:sz w:val="24"/>
          <w:szCs w:val="24"/>
        </w:rPr>
        <w:t>Highlights, Key Results and Lessons Learned</w:t>
      </w:r>
    </w:p>
    <w:p w:rsidR="00083736" w:rsidRDefault="00083736" w:rsidP="00083736">
      <w:r>
        <w:t xml:space="preserve"> </w:t>
      </w:r>
    </w:p>
    <w:p w:rsidR="00B23C56" w:rsidRDefault="00B23C56" w:rsidP="00083736"/>
    <w:p w:rsidR="00083736" w:rsidRPr="00B23C56" w:rsidRDefault="00083736" w:rsidP="00083736">
      <w:pPr>
        <w:rPr>
          <w:rFonts w:ascii="Arial" w:hAnsi="Arial" w:cs="Arial"/>
          <w:sz w:val="20"/>
          <w:szCs w:val="20"/>
        </w:rPr>
      </w:pPr>
      <w:r w:rsidRPr="00B23C56">
        <w:rPr>
          <w:rFonts w:ascii="Arial" w:hAnsi="Arial" w:cs="Arial"/>
          <w:sz w:val="20"/>
          <w:szCs w:val="20"/>
        </w:rPr>
        <w:t xml:space="preserve">During the 25th Anniversary of International Development Week, February 1-7, 2015, the Ontario Council for International Cooperation (OCIC) launched a new public engagement photojournalism initiative which in its first year is entitled </w:t>
      </w:r>
      <w:r w:rsidRPr="006D0C10">
        <w:rPr>
          <w:rFonts w:ascii="Arial" w:hAnsi="Arial" w:cs="Arial"/>
          <w:sz w:val="20"/>
          <w:szCs w:val="20"/>
        </w:rPr>
        <w:t>‘Transformations: Stories of Partnership, Resilience and Positive Change in Peru’</w:t>
      </w:r>
      <w:r w:rsidRPr="00B23C56">
        <w:rPr>
          <w:rFonts w:ascii="Arial" w:hAnsi="Arial" w:cs="Arial"/>
          <w:sz w:val="20"/>
          <w:szCs w:val="20"/>
        </w:rPr>
        <w:t xml:space="preserve">. This five-year collaborative project is intended to increase dialogue and further understanding of international partnerships that address complex global challenges. In its pilot year the project profiles the partnerships between two OCIC member organizations and their partners in Peru: Transforming Faces and </w:t>
      </w:r>
      <w:proofErr w:type="spellStart"/>
      <w:r w:rsidRPr="00B23C56">
        <w:rPr>
          <w:rFonts w:ascii="Arial" w:hAnsi="Arial" w:cs="Arial"/>
          <w:sz w:val="20"/>
          <w:szCs w:val="20"/>
        </w:rPr>
        <w:t>KusiRostros</w:t>
      </w:r>
      <w:proofErr w:type="spellEnd"/>
      <w:r w:rsidRPr="00B23C56">
        <w:rPr>
          <w:rFonts w:ascii="Arial" w:hAnsi="Arial" w:cs="Arial"/>
          <w:sz w:val="20"/>
          <w:szCs w:val="20"/>
        </w:rPr>
        <w:t xml:space="preserve">, and Save the Children Canada, Save the Children International in Peru, and the Commission on Human Rights of Ica (CODEHICA).  </w:t>
      </w:r>
    </w:p>
    <w:p w:rsidR="00083736" w:rsidRPr="00B23C56" w:rsidRDefault="00083736" w:rsidP="00083736">
      <w:pPr>
        <w:rPr>
          <w:rFonts w:ascii="Arial" w:hAnsi="Arial" w:cs="Arial"/>
          <w:sz w:val="20"/>
          <w:szCs w:val="20"/>
        </w:rPr>
      </w:pPr>
    </w:p>
    <w:p w:rsidR="00083736" w:rsidRPr="00B23C56" w:rsidRDefault="00083736" w:rsidP="00083736">
      <w:pPr>
        <w:rPr>
          <w:rFonts w:ascii="Arial" w:hAnsi="Arial" w:cs="Arial"/>
          <w:sz w:val="20"/>
          <w:szCs w:val="20"/>
        </w:rPr>
      </w:pPr>
      <w:r w:rsidRPr="00B23C56">
        <w:rPr>
          <w:rFonts w:ascii="Arial" w:hAnsi="Arial" w:cs="Arial"/>
          <w:sz w:val="20"/>
          <w:szCs w:val="20"/>
        </w:rPr>
        <w:t>In late November 2014, three OCIC staff and a photojournalist traveled to Peru for ten days to visit the Peruvian partners in order to learn about and document firsthand the ways the organizations work together, and the impact of their collective efforts. The stories documented were curated and launched as a series of physical and virtual photo exhibits titled</w:t>
      </w:r>
      <w:hyperlink r:id="rId8" w:history="1">
        <w:r w:rsidRPr="006D0C10">
          <w:rPr>
            <w:rStyle w:val="Hyperlink"/>
            <w:rFonts w:ascii="Arial" w:hAnsi="Arial" w:cs="Arial"/>
            <w:sz w:val="20"/>
            <w:szCs w:val="20"/>
          </w:rPr>
          <w:t xml:space="preserve"> ‘Transformations: Stories of Partnership, Resilience and Positive Change in Peru’</w:t>
        </w:r>
      </w:hyperlink>
      <w:r w:rsidRPr="00B23C56">
        <w:rPr>
          <w:rFonts w:ascii="Arial" w:hAnsi="Arial" w:cs="Arial"/>
          <w:sz w:val="20"/>
          <w:szCs w:val="20"/>
        </w:rPr>
        <w:t xml:space="preserve">, during International Development Week 2015. </w:t>
      </w:r>
    </w:p>
    <w:p w:rsidR="00083736" w:rsidRPr="00B23C56" w:rsidRDefault="00083736" w:rsidP="00083736">
      <w:pPr>
        <w:rPr>
          <w:rFonts w:ascii="Arial" w:hAnsi="Arial" w:cs="Arial"/>
          <w:sz w:val="20"/>
          <w:szCs w:val="20"/>
        </w:rPr>
      </w:pPr>
    </w:p>
    <w:p w:rsidR="00083736" w:rsidRPr="00B23C56" w:rsidRDefault="00083736" w:rsidP="00083736">
      <w:pPr>
        <w:rPr>
          <w:rFonts w:ascii="Arial" w:hAnsi="Arial" w:cs="Arial"/>
          <w:sz w:val="20"/>
          <w:szCs w:val="20"/>
        </w:rPr>
      </w:pPr>
      <w:r w:rsidRPr="00B23C56">
        <w:rPr>
          <w:rFonts w:ascii="Arial" w:hAnsi="Arial" w:cs="Arial"/>
          <w:sz w:val="20"/>
          <w:szCs w:val="20"/>
        </w:rPr>
        <w:t xml:space="preserve">Through individual and organizational stories viewers are encouraged to actively engage in a new narrative on international cooperation and solidarity.  This narrative is rooted in the </w:t>
      </w:r>
      <w:hyperlink r:id="rId9" w:history="1">
        <w:r w:rsidRPr="00B23C56">
          <w:rPr>
            <w:rStyle w:val="Hyperlink"/>
            <w:rFonts w:ascii="Arial" w:hAnsi="Arial" w:cs="Arial"/>
            <w:sz w:val="20"/>
            <w:szCs w:val="20"/>
          </w:rPr>
          <w:t>Istanbul Principles for CSO Development Effectiveness</w:t>
        </w:r>
      </w:hyperlink>
      <w:r w:rsidRPr="00B23C56">
        <w:rPr>
          <w:rFonts w:ascii="Arial" w:hAnsi="Arial" w:cs="Arial"/>
          <w:sz w:val="20"/>
          <w:szCs w:val="20"/>
        </w:rPr>
        <w:t xml:space="preserve">, a set of mutually shared values guiding the development work of civil society organizations (CSOs) worldwide  </w:t>
      </w:r>
    </w:p>
    <w:p w:rsidR="00083736" w:rsidRPr="00B23C56" w:rsidRDefault="00083736" w:rsidP="00083736">
      <w:pPr>
        <w:rPr>
          <w:rFonts w:ascii="Arial" w:hAnsi="Arial" w:cs="Arial"/>
          <w:sz w:val="20"/>
          <w:szCs w:val="20"/>
        </w:rPr>
      </w:pPr>
    </w:p>
    <w:p w:rsidR="00083736" w:rsidRDefault="00083736" w:rsidP="00083736">
      <w:pPr>
        <w:rPr>
          <w:rFonts w:ascii="Arial" w:hAnsi="Arial" w:cs="Arial"/>
          <w:sz w:val="20"/>
          <w:szCs w:val="20"/>
        </w:rPr>
      </w:pPr>
    </w:p>
    <w:p w:rsidR="00B23C56" w:rsidRPr="00B23C56" w:rsidRDefault="00B23C56" w:rsidP="00083736">
      <w:pPr>
        <w:rPr>
          <w:rFonts w:ascii="Arial" w:hAnsi="Arial" w:cs="Arial"/>
          <w:sz w:val="20"/>
          <w:szCs w:val="20"/>
        </w:rPr>
      </w:pPr>
    </w:p>
    <w:p w:rsidR="00083736" w:rsidRPr="00B23C56" w:rsidRDefault="00083736" w:rsidP="00083736">
      <w:pPr>
        <w:rPr>
          <w:rFonts w:ascii="Arial" w:hAnsi="Arial" w:cs="Arial"/>
          <w:b/>
          <w:sz w:val="20"/>
          <w:szCs w:val="20"/>
          <w:u w:val="single"/>
        </w:rPr>
      </w:pPr>
      <w:r w:rsidRPr="00B23C56">
        <w:rPr>
          <w:rFonts w:ascii="Arial" w:hAnsi="Arial" w:cs="Arial"/>
          <w:b/>
          <w:sz w:val="20"/>
          <w:szCs w:val="20"/>
          <w:u w:val="single"/>
        </w:rPr>
        <w:t>Highlights and Key Results</w:t>
      </w:r>
    </w:p>
    <w:p w:rsidR="00083736" w:rsidRPr="00B23C56" w:rsidRDefault="00083736" w:rsidP="00083736">
      <w:pPr>
        <w:rPr>
          <w:rFonts w:ascii="Arial" w:hAnsi="Arial" w:cs="Arial"/>
          <w:sz w:val="20"/>
          <w:szCs w:val="20"/>
        </w:rPr>
      </w:pPr>
    </w:p>
    <w:p w:rsidR="00083736" w:rsidRPr="00B23C56" w:rsidRDefault="00083736" w:rsidP="00083736">
      <w:pPr>
        <w:pStyle w:val="ListParagraph"/>
        <w:numPr>
          <w:ilvl w:val="0"/>
          <w:numId w:val="2"/>
        </w:numPr>
        <w:ind w:hanging="294"/>
        <w:rPr>
          <w:rFonts w:ascii="Arial" w:hAnsi="Arial" w:cs="Arial"/>
          <w:sz w:val="20"/>
          <w:szCs w:val="20"/>
        </w:rPr>
      </w:pPr>
      <w:r w:rsidRPr="00B23C56">
        <w:rPr>
          <w:rFonts w:ascii="Arial" w:hAnsi="Arial" w:cs="Arial"/>
          <w:sz w:val="20"/>
          <w:szCs w:val="20"/>
        </w:rPr>
        <w:t>With direction and support of all partners, the OCIC team collected a variety of nuanced and personal stories that incorporate narratives from over 100 children, families, and community members.</w:t>
      </w:r>
    </w:p>
    <w:p w:rsidR="00083736" w:rsidRPr="00B23C56" w:rsidRDefault="00083736" w:rsidP="00083736">
      <w:pPr>
        <w:pStyle w:val="ListParagraph"/>
        <w:numPr>
          <w:ilvl w:val="0"/>
          <w:numId w:val="2"/>
        </w:numPr>
        <w:ind w:hanging="294"/>
        <w:rPr>
          <w:rFonts w:ascii="Arial" w:hAnsi="Arial" w:cs="Arial"/>
          <w:sz w:val="20"/>
          <w:szCs w:val="20"/>
        </w:rPr>
      </w:pPr>
      <w:r w:rsidRPr="00B23C56">
        <w:rPr>
          <w:rFonts w:ascii="Arial" w:hAnsi="Arial" w:cs="Arial"/>
          <w:sz w:val="20"/>
          <w:szCs w:val="20"/>
        </w:rPr>
        <w:t>OCIC and our partners worked collaboratively to plan the international visit and develop the exhibition. The use of partnership agreements was piloted as a method to frame this collaboration</w:t>
      </w:r>
    </w:p>
    <w:p w:rsidR="00083736" w:rsidRPr="00B23C56" w:rsidRDefault="00083736" w:rsidP="00083736">
      <w:pPr>
        <w:pStyle w:val="ListParagraph"/>
        <w:numPr>
          <w:ilvl w:val="0"/>
          <w:numId w:val="2"/>
        </w:numPr>
        <w:ind w:hanging="294"/>
        <w:rPr>
          <w:rFonts w:ascii="Arial" w:hAnsi="Arial" w:cs="Arial"/>
          <w:sz w:val="20"/>
          <w:szCs w:val="20"/>
        </w:rPr>
      </w:pPr>
      <w:r w:rsidRPr="00B23C56">
        <w:rPr>
          <w:rFonts w:ascii="Arial" w:hAnsi="Arial" w:cs="Arial"/>
          <w:sz w:val="20"/>
          <w:szCs w:val="20"/>
        </w:rPr>
        <w:t xml:space="preserve">In February 2015 two English-language virtual exhibits featuring 80 photos and accompanying narratives were published online on </w:t>
      </w:r>
      <w:hyperlink r:id="rId10" w:history="1">
        <w:r w:rsidRPr="00B23C56">
          <w:rPr>
            <w:rStyle w:val="Hyperlink"/>
            <w:rFonts w:ascii="Arial" w:hAnsi="Arial" w:cs="Arial"/>
            <w:sz w:val="20"/>
            <w:szCs w:val="20"/>
          </w:rPr>
          <w:t>Exposure.co</w:t>
        </w:r>
      </w:hyperlink>
      <w:r w:rsidRPr="00B23C56">
        <w:rPr>
          <w:rFonts w:ascii="Arial" w:hAnsi="Arial" w:cs="Arial"/>
          <w:sz w:val="20"/>
          <w:szCs w:val="20"/>
        </w:rPr>
        <w:t>.</w:t>
      </w:r>
    </w:p>
    <w:p w:rsidR="00083736" w:rsidRPr="00B23C56" w:rsidRDefault="00083736" w:rsidP="00083736">
      <w:pPr>
        <w:pStyle w:val="ListParagraph"/>
        <w:numPr>
          <w:ilvl w:val="0"/>
          <w:numId w:val="2"/>
        </w:numPr>
        <w:ind w:hanging="294"/>
        <w:rPr>
          <w:rFonts w:ascii="Arial" w:hAnsi="Arial" w:cs="Arial"/>
          <w:sz w:val="20"/>
          <w:szCs w:val="20"/>
        </w:rPr>
      </w:pPr>
      <w:r w:rsidRPr="00B23C56">
        <w:rPr>
          <w:rFonts w:ascii="Arial" w:hAnsi="Arial" w:cs="Arial"/>
          <w:sz w:val="20"/>
          <w:szCs w:val="20"/>
        </w:rPr>
        <w:t xml:space="preserve">A corresponding physical exhibit featuring 40 photos was launched at the outset of International Development Week, and micro exhibits of four to eight photos each were presented in six locations across Toronto.   </w:t>
      </w:r>
    </w:p>
    <w:p w:rsidR="00083736" w:rsidRPr="00B23C56" w:rsidRDefault="00083736" w:rsidP="00083736">
      <w:pPr>
        <w:pStyle w:val="ListParagraph"/>
        <w:numPr>
          <w:ilvl w:val="0"/>
          <w:numId w:val="2"/>
        </w:numPr>
        <w:ind w:hanging="294"/>
        <w:rPr>
          <w:rFonts w:ascii="Arial" w:hAnsi="Arial" w:cs="Arial"/>
          <w:sz w:val="20"/>
          <w:szCs w:val="20"/>
        </w:rPr>
      </w:pPr>
      <w:r w:rsidRPr="00B23C56">
        <w:rPr>
          <w:rFonts w:ascii="Arial" w:hAnsi="Arial" w:cs="Arial"/>
          <w:sz w:val="20"/>
          <w:szCs w:val="20"/>
        </w:rPr>
        <w:t>Spanish-language versions of the two virtual exhibits were published online in March 2015 and launched simultaneously in Canada and Peru.</w:t>
      </w:r>
    </w:p>
    <w:p w:rsidR="00083736" w:rsidRPr="00B23C56" w:rsidRDefault="00083736" w:rsidP="00083736">
      <w:pPr>
        <w:pStyle w:val="ListParagraph"/>
        <w:numPr>
          <w:ilvl w:val="0"/>
          <w:numId w:val="2"/>
        </w:numPr>
        <w:ind w:hanging="294"/>
        <w:rPr>
          <w:rFonts w:ascii="Arial" w:hAnsi="Arial" w:cs="Arial"/>
          <w:sz w:val="20"/>
          <w:szCs w:val="20"/>
        </w:rPr>
      </w:pPr>
      <w:r w:rsidRPr="00B23C56">
        <w:rPr>
          <w:rFonts w:ascii="Arial" w:hAnsi="Arial" w:cs="Arial"/>
          <w:sz w:val="20"/>
          <w:szCs w:val="20"/>
        </w:rPr>
        <w:t>The four virtual exhibits will remain online and continue to be promoted by OCIC and our partners throughout the year.</w:t>
      </w:r>
    </w:p>
    <w:p w:rsidR="00D97D07" w:rsidRPr="00B23C56" w:rsidRDefault="00083736" w:rsidP="00083736">
      <w:pPr>
        <w:pStyle w:val="ListParagraph"/>
        <w:numPr>
          <w:ilvl w:val="0"/>
          <w:numId w:val="2"/>
        </w:numPr>
        <w:ind w:hanging="294"/>
        <w:rPr>
          <w:rFonts w:ascii="Arial" w:hAnsi="Arial" w:cs="Arial"/>
          <w:sz w:val="20"/>
          <w:szCs w:val="20"/>
        </w:rPr>
      </w:pPr>
      <w:r w:rsidRPr="00B23C56">
        <w:rPr>
          <w:rFonts w:ascii="Arial" w:hAnsi="Arial" w:cs="Arial"/>
          <w:sz w:val="20"/>
          <w:szCs w:val="20"/>
        </w:rPr>
        <w:t xml:space="preserve">Physical exhibits during the month of February reached over </w:t>
      </w:r>
      <w:r w:rsidRPr="00B23C56">
        <w:rPr>
          <w:rFonts w:ascii="Arial" w:hAnsi="Arial" w:cs="Arial"/>
          <w:b/>
          <w:sz w:val="20"/>
          <w:szCs w:val="20"/>
        </w:rPr>
        <w:t>46,910</w:t>
      </w:r>
      <w:r w:rsidRPr="00B23C56">
        <w:rPr>
          <w:rFonts w:ascii="Arial" w:hAnsi="Arial" w:cs="Arial"/>
          <w:sz w:val="20"/>
          <w:szCs w:val="20"/>
        </w:rPr>
        <w:t xml:space="preserve"> impressions and virtual exhibits have been view </w:t>
      </w:r>
      <w:r w:rsidR="00402D57">
        <w:rPr>
          <w:rFonts w:ascii="Arial" w:hAnsi="Arial" w:cs="Arial"/>
          <w:b/>
          <w:sz w:val="20"/>
          <w:szCs w:val="20"/>
        </w:rPr>
        <w:t>3,848</w:t>
      </w:r>
      <w:r w:rsidRPr="00B23C56">
        <w:rPr>
          <w:rFonts w:ascii="Arial" w:hAnsi="Arial" w:cs="Arial"/>
          <w:b/>
          <w:sz w:val="20"/>
          <w:szCs w:val="20"/>
        </w:rPr>
        <w:t xml:space="preserve"> </w:t>
      </w:r>
      <w:r w:rsidRPr="00B23C56">
        <w:rPr>
          <w:rFonts w:ascii="Arial" w:hAnsi="Arial" w:cs="Arial"/>
          <w:sz w:val="20"/>
          <w:szCs w:val="20"/>
        </w:rPr>
        <w:t>times (i</w:t>
      </w:r>
      <w:r w:rsidR="00402D57">
        <w:rPr>
          <w:rFonts w:ascii="Arial" w:hAnsi="Arial" w:cs="Arial"/>
          <w:sz w:val="20"/>
          <w:szCs w:val="20"/>
        </w:rPr>
        <w:t>n English and Spanish) by May 21</w:t>
      </w:r>
      <w:r w:rsidRPr="00B23C56">
        <w:rPr>
          <w:rFonts w:ascii="Arial" w:hAnsi="Arial" w:cs="Arial"/>
          <w:sz w:val="20"/>
          <w:szCs w:val="20"/>
        </w:rPr>
        <w:t>, 2015.</w:t>
      </w:r>
    </w:p>
    <w:p w:rsidR="00B23C56" w:rsidRPr="00B23C56" w:rsidRDefault="00B23C56" w:rsidP="00806E82">
      <w:pPr>
        <w:rPr>
          <w:rFonts w:ascii="Arial" w:hAnsi="Arial" w:cs="Arial"/>
          <w:sz w:val="20"/>
          <w:szCs w:val="20"/>
        </w:rPr>
      </w:pPr>
    </w:p>
    <w:p w:rsidR="00806E82" w:rsidRPr="00B23C56" w:rsidRDefault="00806E82" w:rsidP="001878C7">
      <w:pPr>
        <w:rPr>
          <w:rFonts w:ascii="Arial" w:hAnsi="Arial" w:cs="Arial"/>
          <w:sz w:val="20"/>
          <w:szCs w:val="20"/>
        </w:rPr>
      </w:pPr>
      <w:r w:rsidRPr="00B23C56">
        <w:rPr>
          <w:rFonts w:ascii="Arial" w:hAnsi="Arial" w:cs="Arial"/>
          <w:b/>
          <w:sz w:val="20"/>
          <w:szCs w:val="20"/>
          <w:u w:val="single"/>
        </w:rPr>
        <w:lastRenderedPageBreak/>
        <w:t>Key Lessons Learned</w:t>
      </w:r>
    </w:p>
    <w:p w:rsidR="00806E82" w:rsidRPr="00B23C56" w:rsidRDefault="00806E82" w:rsidP="001878C7">
      <w:pPr>
        <w:pStyle w:val="NoSpacing"/>
        <w:rPr>
          <w:rFonts w:ascii="Arial" w:eastAsia="Calibri" w:hAnsi="Arial" w:cs="Arial"/>
          <w:b/>
          <w:sz w:val="20"/>
          <w:szCs w:val="20"/>
        </w:rPr>
      </w:pPr>
    </w:p>
    <w:p w:rsidR="00806E82" w:rsidRPr="00B23C56" w:rsidRDefault="00806E82" w:rsidP="001878C7">
      <w:pPr>
        <w:pStyle w:val="ListParagraph"/>
        <w:numPr>
          <w:ilvl w:val="0"/>
          <w:numId w:val="10"/>
        </w:numPr>
        <w:rPr>
          <w:rFonts w:ascii="Arial" w:hAnsi="Arial" w:cs="Arial"/>
          <w:b/>
          <w:bCs/>
          <w:sz w:val="20"/>
          <w:szCs w:val="20"/>
        </w:rPr>
      </w:pPr>
      <w:r w:rsidRPr="00B23C56">
        <w:rPr>
          <w:rFonts w:ascii="Arial" w:hAnsi="Arial" w:cs="Arial"/>
          <w:b/>
          <w:bCs/>
          <w:sz w:val="20"/>
          <w:szCs w:val="20"/>
        </w:rPr>
        <w:t xml:space="preserve">A partnership approach to public engagement can effectively </w:t>
      </w:r>
      <w:r w:rsidR="003B06CD" w:rsidRPr="00B23C56">
        <w:rPr>
          <w:rFonts w:ascii="Arial" w:hAnsi="Arial" w:cs="Arial"/>
          <w:b/>
          <w:bCs/>
          <w:sz w:val="20"/>
          <w:szCs w:val="20"/>
        </w:rPr>
        <w:t>access</w:t>
      </w:r>
      <w:r w:rsidRPr="00B23C56">
        <w:rPr>
          <w:rFonts w:ascii="Arial" w:hAnsi="Arial" w:cs="Arial"/>
          <w:b/>
          <w:bCs/>
          <w:sz w:val="20"/>
          <w:szCs w:val="20"/>
        </w:rPr>
        <w:t xml:space="preserve"> relationships of trust, and provide an effective means to share powerful and meaningful narratives </w:t>
      </w:r>
    </w:p>
    <w:p w:rsidR="001878C7" w:rsidRPr="00B23C56" w:rsidRDefault="001878C7" w:rsidP="001878C7">
      <w:pPr>
        <w:pStyle w:val="ListParagraph"/>
        <w:ind w:left="360"/>
        <w:rPr>
          <w:rFonts w:ascii="Arial" w:hAnsi="Arial" w:cs="Arial"/>
          <w:b/>
          <w:bCs/>
          <w:sz w:val="20"/>
          <w:szCs w:val="20"/>
        </w:rPr>
      </w:pPr>
    </w:p>
    <w:p w:rsidR="00806E82" w:rsidRPr="00B23C56" w:rsidRDefault="004E6619" w:rsidP="001878C7">
      <w:pPr>
        <w:pStyle w:val="ListParagraph"/>
        <w:numPr>
          <w:ilvl w:val="0"/>
          <w:numId w:val="3"/>
        </w:numPr>
        <w:ind w:left="720"/>
        <w:rPr>
          <w:rFonts w:ascii="Arial" w:hAnsi="Arial" w:cs="Arial"/>
          <w:sz w:val="20"/>
          <w:szCs w:val="20"/>
        </w:rPr>
      </w:pPr>
      <w:r w:rsidRPr="00B23C56">
        <w:rPr>
          <w:rFonts w:ascii="Arial" w:hAnsi="Arial" w:cs="Arial"/>
          <w:sz w:val="20"/>
          <w:szCs w:val="20"/>
        </w:rPr>
        <w:t>S</w:t>
      </w:r>
      <w:r w:rsidR="00806E82" w:rsidRPr="00B23C56">
        <w:rPr>
          <w:rFonts w:ascii="Arial" w:hAnsi="Arial" w:cs="Arial"/>
          <w:sz w:val="20"/>
          <w:szCs w:val="20"/>
        </w:rPr>
        <w:t xml:space="preserve">upport, understanding and engagement </w:t>
      </w:r>
      <w:r w:rsidR="006310C7" w:rsidRPr="00B23C56">
        <w:rPr>
          <w:rFonts w:ascii="Arial" w:hAnsi="Arial" w:cs="Arial"/>
          <w:sz w:val="20"/>
          <w:szCs w:val="20"/>
        </w:rPr>
        <w:t>from all</w:t>
      </w:r>
      <w:r w:rsidR="00806E82" w:rsidRPr="00B23C56">
        <w:rPr>
          <w:rFonts w:ascii="Arial" w:hAnsi="Arial" w:cs="Arial"/>
          <w:sz w:val="20"/>
          <w:szCs w:val="20"/>
        </w:rPr>
        <w:t xml:space="preserve"> partners were critical factors to the success of this pilot initiative, enabling </w:t>
      </w:r>
      <w:r w:rsidR="006310C7" w:rsidRPr="00B23C56">
        <w:rPr>
          <w:rFonts w:ascii="Arial" w:hAnsi="Arial" w:cs="Arial"/>
          <w:sz w:val="20"/>
          <w:szCs w:val="20"/>
        </w:rPr>
        <w:t>a deep</w:t>
      </w:r>
      <w:r w:rsidR="00806E82" w:rsidRPr="00B23C56">
        <w:rPr>
          <w:rFonts w:ascii="Arial" w:hAnsi="Arial" w:cs="Arial"/>
          <w:sz w:val="20"/>
          <w:szCs w:val="20"/>
        </w:rPr>
        <w:t xml:space="preserve"> connect</w:t>
      </w:r>
      <w:r w:rsidR="006310C7" w:rsidRPr="00B23C56">
        <w:rPr>
          <w:rFonts w:ascii="Arial" w:hAnsi="Arial" w:cs="Arial"/>
          <w:sz w:val="20"/>
          <w:szCs w:val="20"/>
        </w:rPr>
        <w:t>ion</w:t>
      </w:r>
      <w:r w:rsidR="00806E82" w:rsidRPr="00B23C56">
        <w:rPr>
          <w:rFonts w:ascii="Arial" w:hAnsi="Arial" w:cs="Arial"/>
          <w:sz w:val="20"/>
          <w:szCs w:val="20"/>
        </w:rPr>
        <w:t xml:space="preserve"> with individuals </w:t>
      </w:r>
      <w:r w:rsidR="006310C7" w:rsidRPr="00B23C56">
        <w:rPr>
          <w:rFonts w:ascii="Arial" w:hAnsi="Arial" w:cs="Arial"/>
          <w:sz w:val="20"/>
          <w:szCs w:val="20"/>
        </w:rPr>
        <w:t>in a short period of time</w:t>
      </w:r>
      <w:r w:rsidR="00806E82" w:rsidRPr="00B23C56">
        <w:rPr>
          <w:rFonts w:ascii="Arial" w:hAnsi="Arial" w:cs="Arial"/>
          <w:sz w:val="20"/>
          <w:szCs w:val="20"/>
        </w:rPr>
        <w:t xml:space="preserve">.  </w:t>
      </w:r>
    </w:p>
    <w:p w:rsidR="00806E82" w:rsidRPr="00B23C56" w:rsidRDefault="003C556C" w:rsidP="001878C7">
      <w:pPr>
        <w:pStyle w:val="NoSpacing"/>
        <w:numPr>
          <w:ilvl w:val="0"/>
          <w:numId w:val="3"/>
        </w:numPr>
        <w:ind w:left="720"/>
        <w:rPr>
          <w:rFonts w:ascii="Arial" w:hAnsi="Arial" w:cs="Arial"/>
          <w:sz w:val="20"/>
          <w:szCs w:val="20"/>
        </w:rPr>
      </w:pPr>
      <w:r w:rsidRPr="00B23C56">
        <w:rPr>
          <w:rFonts w:ascii="Arial" w:hAnsi="Arial" w:cs="Arial"/>
          <w:sz w:val="20"/>
          <w:szCs w:val="20"/>
        </w:rPr>
        <w:t>Building on existing and mature relationships of trust</w:t>
      </w:r>
      <w:r w:rsidR="00886616" w:rsidRPr="00B23C56">
        <w:rPr>
          <w:rFonts w:ascii="Arial" w:hAnsi="Arial" w:cs="Arial"/>
          <w:sz w:val="20"/>
          <w:szCs w:val="20"/>
        </w:rPr>
        <w:t xml:space="preserve"> provides a unique </w:t>
      </w:r>
      <w:r w:rsidR="009839EA" w:rsidRPr="00B23C56">
        <w:rPr>
          <w:rFonts w:ascii="Arial" w:hAnsi="Arial" w:cs="Arial"/>
          <w:sz w:val="20"/>
          <w:szCs w:val="20"/>
        </w:rPr>
        <w:t>point</w:t>
      </w:r>
      <w:r w:rsidR="00886616" w:rsidRPr="00B23C56">
        <w:rPr>
          <w:rFonts w:ascii="Arial" w:hAnsi="Arial" w:cs="Arial"/>
          <w:sz w:val="20"/>
          <w:szCs w:val="20"/>
        </w:rPr>
        <w:t xml:space="preserve"> of engagement with stakeholder</w:t>
      </w:r>
      <w:r w:rsidR="00E64D30" w:rsidRPr="00B23C56">
        <w:rPr>
          <w:rFonts w:ascii="Arial" w:hAnsi="Arial" w:cs="Arial"/>
          <w:sz w:val="20"/>
          <w:szCs w:val="20"/>
        </w:rPr>
        <w:t>s</w:t>
      </w:r>
      <w:r w:rsidR="00886616" w:rsidRPr="00B23C56">
        <w:rPr>
          <w:rFonts w:ascii="Arial" w:hAnsi="Arial" w:cs="Arial"/>
          <w:sz w:val="20"/>
          <w:szCs w:val="20"/>
        </w:rPr>
        <w:t xml:space="preserve">. </w:t>
      </w:r>
      <w:r w:rsidR="009839EA" w:rsidRPr="00B23C56">
        <w:rPr>
          <w:rFonts w:ascii="Arial" w:hAnsi="Arial" w:cs="Arial"/>
          <w:sz w:val="20"/>
          <w:szCs w:val="20"/>
        </w:rPr>
        <w:t xml:space="preserve"> With a high level of respect and transparency on the intended use of images and stories</w:t>
      </w:r>
      <w:r w:rsidR="00806E82" w:rsidRPr="00B23C56">
        <w:rPr>
          <w:rFonts w:ascii="Arial" w:hAnsi="Arial" w:cs="Arial"/>
          <w:sz w:val="20"/>
          <w:szCs w:val="20"/>
        </w:rPr>
        <w:t xml:space="preserve">, numerous people wished to share their experiences, to be photographed, and to be heard.  </w:t>
      </w:r>
    </w:p>
    <w:p w:rsidR="00806E82" w:rsidRPr="00B23C56" w:rsidRDefault="004E2EB0" w:rsidP="001878C7">
      <w:pPr>
        <w:pStyle w:val="NoSpacing"/>
        <w:numPr>
          <w:ilvl w:val="0"/>
          <w:numId w:val="4"/>
        </w:numPr>
        <w:ind w:left="720"/>
        <w:rPr>
          <w:rFonts w:ascii="Arial" w:hAnsi="Arial" w:cs="Arial"/>
          <w:sz w:val="20"/>
          <w:szCs w:val="20"/>
        </w:rPr>
      </w:pPr>
      <w:r w:rsidRPr="00B23C56">
        <w:rPr>
          <w:rFonts w:ascii="Arial" w:hAnsi="Arial" w:cs="Arial"/>
          <w:sz w:val="20"/>
          <w:szCs w:val="20"/>
        </w:rPr>
        <w:t xml:space="preserve">In this context, individuals are willing to share </w:t>
      </w:r>
      <w:r w:rsidR="00806E82" w:rsidRPr="00B23C56">
        <w:rPr>
          <w:rFonts w:ascii="Arial" w:hAnsi="Arial" w:cs="Arial"/>
          <w:sz w:val="20"/>
          <w:szCs w:val="20"/>
        </w:rPr>
        <w:t xml:space="preserve">deeply personal stories in order to develop a more nuanced narrative about individual’s lives, situations, agency and active involvement. </w:t>
      </w:r>
    </w:p>
    <w:p w:rsidR="00806E82" w:rsidRPr="00B23C56" w:rsidRDefault="00806E82" w:rsidP="001878C7">
      <w:pPr>
        <w:pStyle w:val="ListParagraph"/>
        <w:numPr>
          <w:ilvl w:val="0"/>
          <w:numId w:val="4"/>
        </w:numPr>
        <w:ind w:left="720"/>
        <w:rPr>
          <w:rFonts w:ascii="Arial" w:eastAsia="Calibri" w:hAnsi="Arial" w:cs="Arial"/>
          <w:i/>
          <w:sz w:val="20"/>
          <w:szCs w:val="20"/>
        </w:rPr>
      </w:pPr>
      <w:r w:rsidRPr="00B23C56">
        <w:rPr>
          <w:rFonts w:ascii="Arial" w:eastAsia="Calibri" w:hAnsi="Arial" w:cs="Arial"/>
          <w:sz w:val="20"/>
          <w:szCs w:val="20"/>
        </w:rPr>
        <w:t xml:space="preserve">Through a collaborative feedback process of developing a written and visual narrative, </w:t>
      </w:r>
      <w:r w:rsidRPr="00B23C56">
        <w:rPr>
          <w:rFonts w:ascii="Arial" w:hAnsi="Arial" w:cs="Arial"/>
          <w:sz w:val="20"/>
          <w:szCs w:val="20"/>
        </w:rPr>
        <w:t xml:space="preserve">all partners </w:t>
      </w:r>
      <w:r w:rsidR="006B691F" w:rsidRPr="00B23C56">
        <w:rPr>
          <w:rFonts w:ascii="Arial" w:hAnsi="Arial" w:cs="Arial"/>
          <w:sz w:val="20"/>
          <w:szCs w:val="20"/>
        </w:rPr>
        <w:t>were</w:t>
      </w:r>
      <w:r w:rsidRPr="00B23C56">
        <w:rPr>
          <w:rFonts w:ascii="Arial" w:hAnsi="Arial" w:cs="Arial"/>
          <w:sz w:val="20"/>
          <w:szCs w:val="20"/>
        </w:rPr>
        <w:t xml:space="preserve"> able to play a critical role in the final framing of the exhibition and</w:t>
      </w:r>
      <w:r w:rsidRPr="00B23C56">
        <w:rPr>
          <w:rFonts w:ascii="Arial" w:eastAsia="Calibri" w:hAnsi="Arial" w:cs="Arial"/>
          <w:sz w:val="20"/>
          <w:szCs w:val="20"/>
        </w:rPr>
        <w:t xml:space="preserve"> increase the transparency and accountability to </w:t>
      </w:r>
      <w:r w:rsidR="004A1DFB" w:rsidRPr="00B23C56">
        <w:rPr>
          <w:rFonts w:ascii="Arial" w:eastAsia="Calibri" w:hAnsi="Arial" w:cs="Arial"/>
          <w:sz w:val="20"/>
          <w:szCs w:val="20"/>
        </w:rPr>
        <w:t>the individuals who shared their stories</w:t>
      </w:r>
      <w:r w:rsidRPr="00B23C56">
        <w:rPr>
          <w:rFonts w:ascii="Arial" w:hAnsi="Arial" w:cs="Arial"/>
          <w:sz w:val="20"/>
          <w:szCs w:val="20"/>
        </w:rPr>
        <w:t xml:space="preserve"> </w:t>
      </w:r>
    </w:p>
    <w:p w:rsidR="00806E82" w:rsidRPr="00B23C56" w:rsidRDefault="00806E82" w:rsidP="001878C7">
      <w:pPr>
        <w:pStyle w:val="ListParagraph"/>
        <w:ind w:left="360"/>
        <w:rPr>
          <w:rFonts w:ascii="Arial" w:hAnsi="Arial" w:cs="Arial"/>
          <w:sz w:val="20"/>
          <w:szCs w:val="20"/>
        </w:rPr>
      </w:pPr>
    </w:p>
    <w:p w:rsidR="00806E82" w:rsidRPr="00B23C56" w:rsidRDefault="00292DEB" w:rsidP="001878C7">
      <w:pPr>
        <w:pStyle w:val="ListParagraph"/>
        <w:numPr>
          <w:ilvl w:val="0"/>
          <w:numId w:val="8"/>
        </w:numPr>
        <w:rPr>
          <w:rFonts w:ascii="Arial" w:hAnsi="Arial" w:cs="Arial"/>
          <w:sz w:val="20"/>
          <w:szCs w:val="20"/>
        </w:rPr>
      </w:pPr>
      <w:r w:rsidRPr="00B23C56">
        <w:rPr>
          <w:rFonts w:ascii="Arial" w:eastAsia="Calibri" w:hAnsi="Arial" w:cs="Arial"/>
          <w:b/>
          <w:sz w:val="20"/>
          <w:szCs w:val="20"/>
        </w:rPr>
        <w:t>U</w:t>
      </w:r>
      <w:r w:rsidR="001842AC" w:rsidRPr="00B23C56">
        <w:rPr>
          <w:rFonts w:ascii="Arial" w:eastAsia="Calibri" w:hAnsi="Arial" w:cs="Arial"/>
          <w:b/>
          <w:sz w:val="20"/>
          <w:szCs w:val="20"/>
        </w:rPr>
        <w:t>sing p</w:t>
      </w:r>
      <w:r w:rsidR="00806E82" w:rsidRPr="00B23C56">
        <w:rPr>
          <w:rFonts w:ascii="Arial" w:eastAsia="Calibri" w:hAnsi="Arial" w:cs="Arial"/>
          <w:b/>
          <w:sz w:val="20"/>
          <w:szCs w:val="20"/>
        </w:rPr>
        <w:t xml:space="preserve">hotojournalism as a medium </w:t>
      </w:r>
      <w:r w:rsidR="00751B1E" w:rsidRPr="00B23C56">
        <w:rPr>
          <w:rFonts w:ascii="Arial" w:eastAsia="Calibri" w:hAnsi="Arial" w:cs="Arial"/>
          <w:b/>
          <w:sz w:val="20"/>
          <w:szCs w:val="20"/>
        </w:rPr>
        <w:t>and</w:t>
      </w:r>
      <w:r w:rsidR="001842AC" w:rsidRPr="00B23C56">
        <w:rPr>
          <w:rFonts w:ascii="Arial" w:eastAsia="Calibri" w:hAnsi="Arial" w:cs="Arial"/>
          <w:b/>
          <w:sz w:val="20"/>
          <w:szCs w:val="20"/>
        </w:rPr>
        <w:t xml:space="preserve"> providing</w:t>
      </w:r>
      <w:r w:rsidR="00D44682" w:rsidRPr="00B23C56">
        <w:rPr>
          <w:rFonts w:ascii="Arial" w:eastAsia="Calibri" w:hAnsi="Arial" w:cs="Arial"/>
          <w:b/>
          <w:sz w:val="20"/>
          <w:szCs w:val="20"/>
        </w:rPr>
        <w:t xml:space="preserve"> access on</w:t>
      </w:r>
      <w:r w:rsidR="00806E82" w:rsidRPr="00B23C56">
        <w:rPr>
          <w:rFonts w:ascii="Arial" w:eastAsia="Calibri" w:hAnsi="Arial" w:cs="Arial"/>
          <w:b/>
          <w:sz w:val="20"/>
          <w:szCs w:val="20"/>
        </w:rPr>
        <w:t xml:space="preserve"> multiple platforms </w:t>
      </w:r>
      <w:r w:rsidR="00D44682" w:rsidRPr="00B23C56">
        <w:rPr>
          <w:rFonts w:ascii="Arial" w:eastAsia="Calibri" w:hAnsi="Arial" w:cs="Arial"/>
          <w:b/>
          <w:sz w:val="20"/>
          <w:szCs w:val="20"/>
        </w:rPr>
        <w:t>is an effective strategy to</w:t>
      </w:r>
      <w:r w:rsidR="00806E82" w:rsidRPr="00B23C56">
        <w:rPr>
          <w:rFonts w:ascii="Arial" w:eastAsia="Calibri" w:hAnsi="Arial" w:cs="Arial"/>
          <w:b/>
          <w:sz w:val="20"/>
          <w:szCs w:val="20"/>
        </w:rPr>
        <w:t xml:space="preserve"> bridge geographical and language gaps and is a compelling way to share narratives  </w:t>
      </w:r>
      <w:r w:rsidR="009755A6" w:rsidRPr="00B23C56">
        <w:rPr>
          <w:rFonts w:ascii="Arial" w:eastAsia="Calibri" w:hAnsi="Arial" w:cs="Arial"/>
          <w:b/>
          <w:sz w:val="20"/>
          <w:szCs w:val="20"/>
        </w:rPr>
        <w:t xml:space="preserve">(in </w:t>
      </w:r>
      <w:r w:rsidR="007C69A2">
        <w:rPr>
          <w:rFonts w:ascii="Arial" w:eastAsia="Calibri" w:hAnsi="Arial" w:cs="Arial"/>
          <w:b/>
          <w:sz w:val="20"/>
          <w:szCs w:val="20"/>
        </w:rPr>
        <w:t>a partnership</w:t>
      </w:r>
      <w:r w:rsidR="009755A6" w:rsidRPr="00B23C56">
        <w:rPr>
          <w:rFonts w:ascii="Arial" w:eastAsia="Calibri" w:hAnsi="Arial" w:cs="Arial"/>
          <w:b/>
          <w:sz w:val="20"/>
          <w:szCs w:val="20"/>
        </w:rPr>
        <w:t xml:space="preserve"> context)</w:t>
      </w:r>
    </w:p>
    <w:p w:rsidR="001878C7" w:rsidRPr="00B23C56" w:rsidRDefault="001878C7" w:rsidP="001878C7">
      <w:pPr>
        <w:pStyle w:val="ListParagraph"/>
        <w:ind w:left="360"/>
        <w:rPr>
          <w:rFonts w:ascii="Arial" w:hAnsi="Arial" w:cs="Arial"/>
          <w:sz w:val="20"/>
          <w:szCs w:val="20"/>
        </w:rPr>
      </w:pPr>
    </w:p>
    <w:p w:rsidR="00806E82" w:rsidRPr="00B23C56" w:rsidRDefault="00806E82" w:rsidP="001878C7">
      <w:pPr>
        <w:pStyle w:val="ListParagraph"/>
        <w:numPr>
          <w:ilvl w:val="0"/>
          <w:numId w:val="5"/>
        </w:numPr>
        <w:rPr>
          <w:rFonts w:ascii="Arial" w:hAnsi="Arial" w:cs="Arial"/>
          <w:sz w:val="20"/>
          <w:szCs w:val="20"/>
        </w:rPr>
      </w:pPr>
      <w:r w:rsidRPr="00B23C56">
        <w:rPr>
          <w:rFonts w:ascii="Arial" w:hAnsi="Arial" w:cs="Arial"/>
          <w:sz w:val="20"/>
          <w:szCs w:val="20"/>
        </w:rPr>
        <w:t xml:space="preserve">High quality exhibit images attract viewers’ attention and are an effective entry point to engage with a narrative. </w:t>
      </w:r>
    </w:p>
    <w:p w:rsidR="000F3C45" w:rsidRPr="00B23C56" w:rsidRDefault="000F3C45" w:rsidP="001878C7">
      <w:pPr>
        <w:pStyle w:val="ListParagraph"/>
        <w:numPr>
          <w:ilvl w:val="0"/>
          <w:numId w:val="5"/>
        </w:numPr>
        <w:rPr>
          <w:rFonts w:ascii="Arial" w:hAnsi="Arial" w:cs="Arial"/>
          <w:sz w:val="20"/>
          <w:szCs w:val="20"/>
        </w:rPr>
      </w:pPr>
      <w:r w:rsidRPr="00B23C56">
        <w:rPr>
          <w:rFonts w:ascii="Arial" w:hAnsi="Arial" w:cs="Arial"/>
          <w:sz w:val="20"/>
          <w:szCs w:val="20"/>
        </w:rPr>
        <w:t>Photojournalism</w:t>
      </w:r>
      <w:r w:rsidR="009577B8" w:rsidRPr="00B23C56">
        <w:rPr>
          <w:rFonts w:ascii="Arial" w:hAnsi="Arial" w:cs="Arial"/>
          <w:sz w:val="20"/>
          <w:szCs w:val="20"/>
        </w:rPr>
        <w:t xml:space="preserve"> </w:t>
      </w:r>
      <w:r w:rsidRPr="00B23C56">
        <w:rPr>
          <w:rFonts w:ascii="Arial" w:hAnsi="Arial" w:cs="Arial"/>
          <w:sz w:val="20"/>
          <w:szCs w:val="20"/>
        </w:rPr>
        <w:t xml:space="preserve">provides an opportunity to share </w:t>
      </w:r>
      <w:r w:rsidR="00267132" w:rsidRPr="00B23C56">
        <w:rPr>
          <w:rFonts w:ascii="Arial" w:hAnsi="Arial" w:cs="Arial"/>
          <w:sz w:val="20"/>
          <w:szCs w:val="20"/>
        </w:rPr>
        <w:t xml:space="preserve">multiple </w:t>
      </w:r>
      <w:r w:rsidRPr="00B23C56">
        <w:rPr>
          <w:rFonts w:ascii="Arial" w:hAnsi="Arial" w:cs="Arial"/>
          <w:sz w:val="20"/>
          <w:szCs w:val="20"/>
        </w:rPr>
        <w:t>individual</w:t>
      </w:r>
      <w:r w:rsidR="00267132" w:rsidRPr="00B23C56">
        <w:rPr>
          <w:rFonts w:ascii="Arial" w:hAnsi="Arial" w:cs="Arial"/>
          <w:sz w:val="20"/>
          <w:szCs w:val="20"/>
        </w:rPr>
        <w:t xml:space="preserve">ized </w:t>
      </w:r>
      <w:r w:rsidRPr="00B23C56">
        <w:rPr>
          <w:rFonts w:ascii="Arial" w:hAnsi="Arial" w:cs="Arial"/>
          <w:sz w:val="20"/>
          <w:szCs w:val="20"/>
        </w:rPr>
        <w:t>stories</w:t>
      </w:r>
      <w:r w:rsidR="002172FD" w:rsidRPr="00B23C56">
        <w:rPr>
          <w:rFonts w:ascii="Arial" w:hAnsi="Arial" w:cs="Arial"/>
          <w:sz w:val="20"/>
          <w:szCs w:val="20"/>
        </w:rPr>
        <w:t xml:space="preserve"> </w:t>
      </w:r>
      <w:r w:rsidR="003F2F82">
        <w:rPr>
          <w:rFonts w:ascii="Arial" w:hAnsi="Arial" w:cs="Arial"/>
          <w:sz w:val="20"/>
          <w:szCs w:val="20"/>
        </w:rPr>
        <w:t xml:space="preserve">contributing to </w:t>
      </w:r>
      <w:r w:rsidR="00107C70">
        <w:rPr>
          <w:rFonts w:ascii="Arial" w:hAnsi="Arial" w:cs="Arial"/>
          <w:sz w:val="20"/>
          <w:szCs w:val="20"/>
        </w:rPr>
        <w:t xml:space="preserve">a more nuanced understanding </w:t>
      </w:r>
      <w:r w:rsidR="002172FD" w:rsidRPr="00B23C56">
        <w:rPr>
          <w:rFonts w:ascii="Arial" w:hAnsi="Arial" w:cs="Arial"/>
          <w:sz w:val="20"/>
          <w:szCs w:val="20"/>
        </w:rPr>
        <w:t xml:space="preserve"> </w:t>
      </w:r>
    </w:p>
    <w:p w:rsidR="00806E82" w:rsidRPr="00B23C56" w:rsidRDefault="00806E82" w:rsidP="001878C7">
      <w:pPr>
        <w:pStyle w:val="ListParagraph"/>
        <w:numPr>
          <w:ilvl w:val="0"/>
          <w:numId w:val="5"/>
        </w:numPr>
        <w:rPr>
          <w:rFonts w:ascii="Arial" w:hAnsi="Arial" w:cs="Arial"/>
          <w:sz w:val="20"/>
          <w:szCs w:val="20"/>
        </w:rPr>
      </w:pPr>
      <w:r w:rsidRPr="00B23C56">
        <w:rPr>
          <w:rFonts w:ascii="Arial" w:hAnsi="Arial" w:cs="Arial"/>
          <w:sz w:val="20"/>
          <w:szCs w:val="20"/>
        </w:rPr>
        <w:t xml:space="preserve">Virtual exhibits in both the English and Spanish languages increase reach to a broader online audience and to those who shared their story to see and engage with the resulting narrative.  </w:t>
      </w:r>
    </w:p>
    <w:p w:rsidR="00806E82" w:rsidRPr="00B23C56" w:rsidRDefault="00A82727" w:rsidP="001878C7">
      <w:pPr>
        <w:pStyle w:val="ListParagraph"/>
        <w:numPr>
          <w:ilvl w:val="0"/>
          <w:numId w:val="5"/>
        </w:numPr>
        <w:rPr>
          <w:rFonts w:ascii="Arial" w:eastAsia="Calibri" w:hAnsi="Arial" w:cs="Arial"/>
          <w:sz w:val="20"/>
          <w:szCs w:val="20"/>
        </w:rPr>
      </w:pPr>
      <w:r w:rsidRPr="00B23C56">
        <w:rPr>
          <w:rFonts w:ascii="Arial" w:eastAsia="Calibri" w:hAnsi="Arial" w:cs="Arial"/>
          <w:sz w:val="20"/>
          <w:szCs w:val="20"/>
        </w:rPr>
        <w:t>Developing a</w:t>
      </w:r>
      <w:r w:rsidR="00806E82" w:rsidRPr="00B23C56">
        <w:rPr>
          <w:rFonts w:ascii="Arial" w:eastAsia="Calibri" w:hAnsi="Arial" w:cs="Arial"/>
          <w:sz w:val="20"/>
          <w:szCs w:val="20"/>
        </w:rPr>
        <w:t xml:space="preserve"> comprehensive communications and engagement strategy would make the exhibit more impactful.  </w:t>
      </w:r>
      <w:r w:rsidRPr="00B23C56">
        <w:rPr>
          <w:rFonts w:ascii="Arial" w:eastAsia="Calibri" w:hAnsi="Arial" w:cs="Arial"/>
          <w:sz w:val="20"/>
          <w:szCs w:val="20"/>
        </w:rPr>
        <w:t>A</w:t>
      </w:r>
      <w:r w:rsidR="00806E82" w:rsidRPr="00B23C56">
        <w:rPr>
          <w:rFonts w:ascii="Arial" w:eastAsia="Calibri" w:hAnsi="Arial" w:cs="Arial"/>
          <w:sz w:val="20"/>
          <w:szCs w:val="20"/>
        </w:rPr>
        <w:t xml:space="preserve"> strategy that leads to </w:t>
      </w:r>
      <w:r w:rsidR="00362E79" w:rsidRPr="00B23C56">
        <w:rPr>
          <w:rFonts w:ascii="Arial" w:eastAsia="Calibri" w:hAnsi="Arial" w:cs="Arial"/>
          <w:sz w:val="20"/>
          <w:szCs w:val="20"/>
        </w:rPr>
        <w:t xml:space="preserve">a specific </w:t>
      </w:r>
      <w:r w:rsidR="00806E82" w:rsidRPr="00B23C56">
        <w:rPr>
          <w:rFonts w:ascii="Arial" w:eastAsia="Calibri" w:hAnsi="Arial" w:cs="Arial"/>
          <w:sz w:val="20"/>
          <w:szCs w:val="20"/>
        </w:rPr>
        <w:t>action and links stories more closely to global agenda is needed.</w:t>
      </w:r>
    </w:p>
    <w:p w:rsidR="00806E82" w:rsidRPr="00B23C56" w:rsidRDefault="00806E82" w:rsidP="001878C7">
      <w:pPr>
        <w:rPr>
          <w:rFonts w:ascii="Arial" w:hAnsi="Arial" w:cs="Arial"/>
          <w:sz w:val="20"/>
          <w:szCs w:val="20"/>
        </w:rPr>
      </w:pPr>
    </w:p>
    <w:p w:rsidR="00806E82" w:rsidRPr="00B23C56" w:rsidRDefault="006230A2" w:rsidP="001878C7">
      <w:pPr>
        <w:pStyle w:val="ListParagraph"/>
        <w:numPr>
          <w:ilvl w:val="0"/>
          <w:numId w:val="8"/>
        </w:numPr>
        <w:rPr>
          <w:rFonts w:ascii="Arial" w:hAnsi="Arial" w:cs="Arial"/>
          <w:b/>
          <w:sz w:val="20"/>
          <w:szCs w:val="20"/>
        </w:rPr>
      </w:pPr>
      <w:r>
        <w:rPr>
          <w:rFonts w:ascii="Arial" w:hAnsi="Arial" w:cs="Arial"/>
          <w:b/>
          <w:sz w:val="20"/>
          <w:szCs w:val="20"/>
        </w:rPr>
        <w:t xml:space="preserve">In project based partnerships, </w:t>
      </w:r>
      <w:r w:rsidR="00435B67" w:rsidRPr="00B23C56">
        <w:rPr>
          <w:rFonts w:ascii="Arial" w:hAnsi="Arial" w:cs="Arial"/>
          <w:b/>
          <w:sz w:val="20"/>
          <w:szCs w:val="20"/>
        </w:rPr>
        <w:t>d</w:t>
      </w:r>
      <w:r>
        <w:rPr>
          <w:rFonts w:ascii="Arial" w:hAnsi="Arial" w:cs="Arial"/>
          <w:b/>
          <w:sz w:val="20"/>
          <w:szCs w:val="20"/>
        </w:rPr>
        <w:t>eveloping</w:t>
      </w:r>
      <w:r w:rsidR="00806E82" w:rsidRPr="00B23C56">
        <w:rPr>
          <w:rFonts w:ascii="Arial" w:hAnsi="Arial" w:cs="Arial"/>
          <w:b/>
          <w:sz w:val="20"/>
          <w:szCs w:val="20"/>
        </w:rPr>
        <w:t xml:space="preserve"> a mutual set of </w:t>
      </w:r>
      <w:r>
        <w:rPr>
          <w:rFonts w:ascii="Arial" w:hAnsi="Arial" w:cs="Arial"/>
          <w:b/>
          <w:sz w:val="20"/>
          <w:szCs w:val="20"/>
        </w:rPr>
        <w:t>objectives</w:t>
      </w:r>
      <w:r w:rsidR="003E3AFF" w:rsidRPr="00B23C56">
        <w:rPr>
          <w:rFonts w:ascii="Arial" w:hAnsi="Arial" w:cs="Arial"/>
          <w:b/>
          <w:sz w:val="20"/>
          <w:szCs w:val="20"/>
        </w:rPr>
        <w:t xml:space="preserve"> from the outset</w:t>
      </w:r>
      <w:r w:rsidR="00806E82" w:rsidRPr="00B23C56">
        <w:rPr>
          <w:rFonts w:ascii="Arial" w:hAnsi="Arial" w:cs="Arial"/>
          <w:b/>
          <w:sz w:val="20"/>
          <w:szCs w:val="20"/>
        </w:rPr>
        <w:t xml:space="preserve"> strengthen</w:t>
      </w:r>
      <w:r w:rsidR="00435B67" w:rsidRPr="00B23C56">
        <w:rPr>
          <w:rFonts w:ascii="Arial" w:hAnsi="Arial" w:cs="Arial"/>
          <w:b/>
          <w:sz w:val="20"/>
          <w:szCs w:val="20"/>
        </w:rPr>
        <w:t>s</w:t>
      </w:r>
      <w:r w:rsidR="00806E82" w:rsidRPr="00B23C56">
        <w:rPr>
          <w:rFonts w:ascii="Arial" w:hAnsi="Arial" w:cs="Arial"/>
          <w:b/>
          <w:sz w:val="20"/>
          <w:szCs w:val="20"/>
        </w:rPr>
        <w:t xml:space="preserve"> and deepen</w:t>
      </w:r>
      <w:r w:rsidR="00435B67" w:rsidRPr="00B23C56">
        <w:rPr>
          <w:rFonts w:ascii="Arial" w:hAnsi="Arial" w:cs="Arial"/>
          <w:b/>
          <w:sz w:val="20"/>
          <w:szCs w:val="20"/>
        </w:rPr>
        <w:t>s</w:t>
      </w:r>
      <w:r w:rsidR="00CA4140" w:rsidRPr="00B23C56">
        <w:rPr>
          <w:rFonts w:ascii="Arial" w:hAnsi="Arial" w:cs="Arial"/>
          <w:b/>
          <w:sz w:val="20"/>
          <w:szCs w:val="20"/>
        </w:rPr>
        <w:t xml:space="preserve"> the</w:t>
      </w:r>
      <w:r w:rsidR="00806E82" w:rsidRPr="00B23C56">
        <w:rPr>
          <w:rFonts w:ascii="Arial" w:hAnsi="Arial" w:cs="Arial"/>
          <w:b/>
          <w:sz w:val="20"/>
          <w:szCs w:val="20"/>
        </w:rPr>
        <w:t xml:space="preserve"> </w:t>
      </w:r>
      <w:r w:rsidR="006945B2" w:rsidRPr="00B23C56">
        <w:rPr>
          <w:rFonts w:ascii="Arial" w:hAnsi="Arial" w:cs="Arial"/>
          <w:b/>
          <w:sz w:val="20"/>
          <w:szCs w:val="20"/>
        </w:rPr>
        <w:t xml:space="preserve">potential of </w:t>
      </w:r>
      <w:r>
        <w:rPr>
          <w:rFonts w:ascii="Arial" w:hAnsi="Arial" w:cs="Arial"/>
          <w:b/>
          <w:sz w:val="20"/>
          <w:szCs w:val="20"/>
        </w:rPr>
        <w:t>impact</w:t>
      </w:r>
      <w:r w:rsidR="00806E82" w:rsidRPr="00B23C56">
        <w:rPr>
          <w:rFonts w:ascii="Arial" w:hAnsi="Arial" w:cs="Arial"/>
          <w:b/>
          <w:sz w:val="20"/>
          <w:szCs w:val="20"/>
        </w:rPr>
        <w:t xml:space="preserve"> and provide</w:t>
      </w:r>
      <w:r w:rsidR="00CA4140" w:rsidRPr="00B23C56">
        <w:rPr>
          <w:rFonts w:ascii="Arial" w:hAnsi="Arial" w:cs="Arial"/>
          <w:b/>
          <w:sz w:val="20"/>
          <w:szCs w:val="20"/>
        </w:rPr>
        <w:t>s</w:t>
      </w:r>
      <w:r w:rsidR="00806E82" w:rsidRPr="00B23C56">
        <w:rPr>
          <w:rFonts w:ascii="Arial" w:hAnsi="Arial" w:cs="Arial"/>
          <w:b/>
          <w:sz w:val="20"/>
          <w:szCs w:val="20"/>
        </w:rPr>
        <w:t xml:space="preserve"> more clarity about desired </w:t>
      </w:r>
      <w:r>
        <w:rPr>
          <w:rFonts w:ascii="Arial" w:hAnsi="Arial" w:cs="Arial"/>
          <w:b/>
          <w:sz w:val="20"/>
          <w:szCs w:val="20"/>
        </w:rPr>
        <w:t>outcomes</w:t>
      </w:r>
    </w:p>
    <w:p w:rsidR="001878C7" w:rsidRPr="00B23C56" w:rsidRDefault="001878C7" w:rsidP="001878C7">
      <w:pPr>
        <w:pStyle w:val="ListParagraph"/>
        <w:ind w:left="360"/>
        <w:rPr>
          <w:rFonts w:ascii="Arial" w:hAnsi="Arial" w:cs="Arial"/>
          <w:b/>
          <w:sz w:val="20"/>
          <w:szCs w:val="20"/>
        </w:rPr>
      </w:pPr>
    </w:p>
    <w:p w:rsidR="00806E82" w:rsidRDefault="00806E82" w:rsidP="001878C7">
      <w:pPr>
        <w:pStyle w:val="ListParagraph"/>
        <w:numPr>
          <w:ilvl w:val="0"/>
          <w:numId w:val="6"/>
        </w:numPr>
        <w:rPr>
          <w:rFonts w:ascii="Arial" w:hAnsi="Arial" w:cs="Arial"/>
          <w:sz w:val="20"/>
          <w:szCs w:val="20"/>
        </w:rPr>
      </w:pPr>
      <w:r w:rsidRPr="00B23C56">
        <w:rPr>
          <w:rFonts w:ascii="Arial" w:hAnsi="Arial" w:cs="Arial"/>
          <w:sz w:val="20"/>
          <w:szCs w:val="20"/>
        </w:rPr>
        <w:t xml:space="preserve">Providing a clearer picture of the scope of the project and </w:t>
      </w:r>
      <w:r w:rsidR="00602BA9">
        <w:rPr>
          <w:rFonts w:ascii="Arial" w:hAnsi="Arial" w:cs="Arial"/>
          <w:sz w:val="20"/>
          <w:szCs w:val="20"/>
        </w:rPr>
        <w:t xml:space="preserve">exploring </w:t>
      </w:r>
      <w:r w:rsidRPr="00B23C56">
        <w:rPr>
          <w:rFonts w:ascii="Arial" w:hAnsi="Arial" w:cs="Arial"/>
          <w:sz w:val="20"/>
          <w:szCs w:val="20"/>
        </w:rPr>
        <w:t>expectations</w:t>
      </w:r>
      <w:r w:rsidR="00263B59">
        <w:rPr>
          <w:rFonts w:ascii="Arial" w:hAnsi="Arial" w:cs="Arial"/>
          <w:sz w:val="20"/>
          <w:szCs w:val="20"/>
        </w:rPr>
        <w:t xml:space="preserve"> and objectives</w:t>
      </w:r>
      <w:r w:rsidRPr="00B23C56">
        <w:rPr>
          <w:rFonts w:ascii="Arial" w:hAnsi="Arial" w:cs="Arial"/>
          <w:sz w:val="20"/>
          <w:szCs w:val="20"/>
        </w:rPr>
        <w:t xml:space="preserve"> of </w:t>
      </w:r>
      <w:r w:rsidR="00602BA9">
        <w:rPr>
          <w:rFonts w:ascii="Arial" w:hAnsi="Arial" w:cs="Arial"/>
          <w:sz w:val="20"/>
          <w:szCs w:val="20"/>
        </w:rPr>
        <w:t>all</w:t>
      </w:r>
      <w:r w:rsidRPr="00B23C56">
        <w:rPr>
          <w:rFonts w:ascii="Arial" w:hAnsi="Arial" w:cs="Arial"/>
          <w:sz w:val="20"/>
          <w:szCs w:val="20"/>
        </w:rPr>
        <w:t xml:space="preserve"> partners from the very beginning of the selection process </w:t>
      </w:r>
      <w:r w:rsidR="00602BA9">
        <w:rPr>
          <w:rFonts w:ascii="Arial" w:hAnsi="Arial" w:cs="Arial"/>
          <w:sz w:val="20"/>
          <w:szCs w:val="20"/>
        </w:rPr>
        <w:t>will</w:t>
      </w:r>
      <w:r w:rsidRPr="00B23C56">
        <w:rPr>
          <w:rFonts w:ascii="Arial" w:hAnsi="Arial" w:cs="Arial"/>
          <w:sz w:val="20"/>
          <w:szCs w:val="20"/>
        </w:rPr>
        <w:t xml:space="preserve"> contribute to increasing ownership and accountability of partners.  </w:t>
      </w:r>
    </w:p>
    <w:p w:rsidR="00806E82" w:rsidRPr="00B6258A" w:rsidRDefault="00102B01" w:rsidP="001878C7">
      <w:pPr>
        <w:pStyle w:val="ListParagraph"/>
        <w:numPr>
          <w:ilvl w:val="0"/>
          <w:numId w:val="6"/>
        </w:numPr>
        <w:rPr>
          <w:rFonts w:ascii="Arial" w:hAnsi="Arial" w:cs="Arial"/>
          <w:sz w:val="20"/>
          <w:szCs w:val="20"/>
        </w:rPr>
      </w:pPr>
      <w:r w:rsidRPr="00B6258A">
        <w:rPr>
          <w:rFonts w:ascii="Arial" w:hAnsi="Arial" w:cs="Arial"/>
          <w:sz w:val="20"/>
          <w:szCs w:val="20"/>
        </w:rPr>
        <w:t xml:space="preserve">Developing a </w:t>
      </w:r>
      <w:r w:rsidR="00B6258A" w:rsidRPr="00B6258A">
        <w:rPr>
          <w:rFonts w:ascii="Arial" w:hAnsi="Arial" w:cs="Arial"/>
          <w:sz w:val="20"/>
          <w:szCs w:val="20"/>
        </w:rPr>
        <w:t>comprehensive</w:t>
      </w:r>
      <w:r w:rsidRPr="00B6258A">
        <w:rPr>
          <w:rFonts w:ascii="Arial" w:hAnsi="Arial" w:cs="Arial"/>
          <w:sz w:val="20"/>
          <w:szCs w:val="20"/>
        </w:rPr>
        <w:t xml:space="preserve"> </w:t>
      </w:r>
      <w:r w:rsidR="001904BE" w:rsidRPr="00B6258A">
        <w:rPr>
          <w:rFonts w:ascii="Arial" w:hAnsi="Arial" w:cs="Arial"/>
          <w:sz w:val="20"/>
          <w:szCs w:val="20"/>
        </w:rPr>
        <w:t xml:space="preserve">public </w:t>
      </w:r>
      <w:r w:rsidR="008B69AD" w:rsidRPr="00B6258A">
        <w:rPr>
          <w:rFonts w:ascii="Arial" w:hAnsi="Arial" w:cs="Arial"/>
          <w:sz w:val="20"/>
          <w:szCs w:val="20"/>
        </w:rPr>
        <w:t>engagement</w:t>
      </w:r>
      <w:r w:rsidR="00B6258A" w:rsidRPr="00B6258A">
        <w:rPr>
          <w:rFonts w:ascii="Arial" w:hAnsi="Arial" w:cs="Arial"/>
          <w:sz w:val="20"/>
          <w:szCs w:val="20"/>
        </w:rPr>
        <w:t xml:space="preserve"> strategy</w:t>
      </w:r>
      <w:r w:rsidR="008B69AD" w:rsidRPr="00B6258A">
        <w:rPr>
          <w:rFonts w:ascii="Arial" w:hAnsi="Arial" w:cs="Arial"/>
          <w:sz w:val="20"/>
          <w:szCs w:val="20"/>
        </w:rPr>
        <w:t xml:space="preserve"> for</w:t>
      </w:r>
      <w:r w:rsidR="00B6258A">
        <w:rPr>
          <w:rFonts w:ascii="Arial" w:hAnsi="Arial" w:cs="Arial"/>
          <w:sz w:val="20"/>
          <w:szCs w:val="20"/>
        </w:rPr>
        <w:t xml:space="preserve"> the duration of the initiative, including clear specifications and target audiences and desired actions with and by these audiences, are necessary to move towards deeper levels of engagement. </w:t>
      </w:r>
    </w:p>
    <w:p w:rsidR="00D6725D" w:rsidRDefault="00D6725D" w:rsidP="001878C7">
      <w:pPr>
        <w:rPr>
          <w:rFonts w:ascii="Arial" w:hAnsi="Arial" w:cs="Arial"/>
          <w:b/>
          <w:sz w:val="20"/>
          <w:szCs w:val="20"/>
        </w:rPr>
      </w:pPr>
    </w:p>
    <w:p w:rsidR="00806E82" w:rsidRDefault="00806E82" w:rsidP="001878C7">
      <w:pPr>
        <w:rPr>
          <w:rFonts w:ascii="Arial" w:hAnsi="Arial" w:cs="Arial"/>
          <w:b/>
          <w:sz w:val="20"/>
          <w:szCs w:val="20"/>
        </w:rPr>
      </w:pPr>
      <w:r w:rsidRPr="00B23C56">
        <w:rPr>
          <w:rFonts w:ascii="Arial" w:hAnsi="Arial" w:cs="Arial"/>
          <w:b/>
          <w:sz w:val="20"/>
          <w:szCs w:val="20"/>
        </w:rPr>
        <w:t>Note</w:t>
      </w:r>
    </w:p>
    <w:p w:rsidR="00D6725D" w:rsidRPr="00B23C56" w:rsidRDefault="00D6725D" w:rsidP="001878C7">
      <w:pPr>
        <w:rPr>
          <w:rFonts w:ascii="Arial" w:hAnsi="Arial" w:cs="Arial"/>
          <w:sz w:val="20"/>
          <w:szCs w:val="20"/>
        </w:rPr>
      </w:pPr>
    </w:p>
    <w:p w:rsidR="00806E82" w:rsidRPr="00B23C56" w:rsidRDefault="00806E82" w:rsidP="00D6725D">
      <w:pPr>
        <w:pStyle w:val="ListParagraph"/>
        <w:numPr>
          <w:ilvl w:val="0"/>
          <w:numId w:val="7"/>
        </w:numPr>
        <w:ind w:left="709" w:hanging="283"/>
        <w:rPr>
          <w:rFonts w:ascii="Arial" w:hAnsi="Arial" w:cs="Arial"/>
          <w:sz w:val="20"/>
          <w:szCs w:val="20"/>
        </w:rPr>
      </w:pPr>
      <w:r w:rsidRPr="00B23C56">
        <w:rPr>
          <w:rFonts w:ascii="Arial" w:hAnsi="Arial" w:cs="Arial"/>
          <w:sz w:val="20"/>
          <w:szCs w:val="20"/>
        </w:rPr>
        <w:t>As a pilot, the first iteration of this initiative was centred in Toronto as a means to streamline the learning process for the OCIC team. Moving forward, we hope to significantly expand our public reach across the province of Ontario.</w:t>
      </w:r>
    </w:p>
    <w:p w:rsidR="00806E82" w:rsidRDefault="00806E82" w:rsidP="001878C7"/>
    <w:sectPr w:rsidR="00806E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F5D"/>
    <w:multiLevelType w:val="hybridMultilevel"/>
    <w:tmpl w:val="0F14F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D82C07"/>
    <w:multiLevelType w:val="hybridMultilevel"/>
    <w:tmpl w:val="C11032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12815CA"/>
    <w:multiLevelType w:val="hybridMultilevel"/>
    <w:tmpl w:val="7E7867CC"/>
    <w:lvl w:ilvl="0" w:tplc="AE8E27E2">
      <w:numFmt w:val="bullet"/>
      <w:lvlText w:val="•"/>
      <w:lvlJc w:val="left"/>
      <w:pPr>
        <w:ind w:left="588" w:hanging="720"/>
      </w:pPr>
      <w:rPr>
        <w:rFonts w:ascii="Calibri" w:eastAsiaTheme="minorHAnsi" w:hAnsi="Calibri" w:cstheme="minorBidi" w:hint="default"/>
      </w:rPr>
    </w:lvl>
    <w:lvl w:ilvl="1" w:tplc="10090003" w:tentative="1">
      <w:start w:val="1"/>
      <w:numFmt w:val="bullet"/>
      <w:lvlText w:val="o"/>
      <w:lvlJc w:val="left"/>
      <w:pPr>
        <w:ind w:left="948" w:hanging="360"/>
      </w:pPr>
      <w:rPr>
        <w:rFonts w:ascii="Courier New" w:hAnsi="Courier New" w:cs="Courier New" w:hint="default"/>
      </w:rPr>
    </w:lvl>
    <w:lvl w:ilvl="2" w:tplc="10090005" w:tentative="1">
      <w:start w:val="1"/>
      <w:numFmt w:val="bullet"/>
      <w:lvlText w:val=""/>
      <w:lvlJc w:val="left"/>
      <w:pPr>
        <w:ind w:left="1668" w:hanging="360"/>
      </w:pPr>
      <w:rPr>
        <w:rFonts w:ascii="Wingdings" w:hAnsi="Wingdings" w:hint="default"/>
      </w:rPr>
    </w:lvl>
    <w:lvl w:ilvl="3" w:tplc="10090001" w:tentative="1">
      <w:start w:val="1"/>
      <w:numFmt w:val="bullet"/>
      <w:lvlText w:val=""/>
      <w:lvlJc w:val="left"/>
      <w:pPr>
        <w:ind w:left="2388" w:hanging="360"/>
      </w:pPr>
      <w:rPr>
        <w:rFonts w:ascii="Symbol" w:hAnsi="Symbol" w:hint="default"/>
      </w:rPr>
    </w:lvl>
    <w:lvl w:ilvl="4" w:tplc="10090003" w:tentative="1">
      <w:start w:val="1"/>
      <w:numFmt w:val="bullet"/>
      <w:lvlText w:val="o"/>
      <w:lvlJc w:val="left"/>
      <w:pPr>
        <w:ind w:left="3108" w:hanging="360"/>
      </w:pPr>
      <w:rPr>
        <w:rFonts w:ascii="Courier New" w:hAnsi="Courier New" w:cs="Courier New" w:hint="default"/>
      </w:rPr>
    </w:lvl>
    <w:lvl w:ilvl="5" w:tplc="10090005" w:tentative="1">
      <w:start w:val="1"/>
      <w:numFmt w:val="bullet"/>
      <w:lvlText w:val=""/>
      <w:lvlJc w:val="left"/>
      <w:pPr>
        <w:ind w:left="3828" w:hanging="360"/>
      </w:pPr>
      <w:rPr>
        <w:rFonts w:ascii="Wingdings" w:hAnsi="Wingdings" w:hint="default"/>
      </w:rPr>
    </w:lvl>
    <w:lvl w:ilvl="6" w:tplc="10090001" w:tentative="1">
      <w:start w:val="1"/>
      <w:numFmt w:val="bullet"/>
      <w:lvlText w:val=""/>
      <w:lvlJc w:val="left"/>
      <w:pPr>
        <w:ind w:left="4548" w:hanging="360"/>
      </w:pPr>
      <w:rPr>
        <w:rFonts w:ascii="Symbol" w:hAnsi="Symbol" w:hint="default"/>
      </w:rPr>
    </w:lvl>
    <w:lvl w:ilvl="7" w:tplc="10090003" w:tentative="1">
      <w:start w:val="1"/>
      <w:numFmt w:val="bullet"/>
      <w:lvlText w:val="o"/>
      <w:lvlJc w:val="left"/>
      <w:pPr>
        <w:ind w:left="5268" w:hanging="360"/>
      </w:pPr>
      <w:rPr>
        <w:rFonts w:ascii="Courier New" w:hAnsi="Courier New" w:cs="Courier New" w:hint="default"/>
      </w:rPr>
    </w:lvl>
    <w:lvl w:ilvl="8" w:tplc="10090005" w:tentative="1">
      <w:start w:val="1"/>
      <w:numFmt w:val="bullet"/>
      <w:lvlText w:val=""/>
      <w:lvlJc w:val="left"/>
      <w:pPr>
        <w:ind w:left="5988" w:hanging="360"/>
      </w:pPr>
      <w:rPr>
        <w:rFonts w:ascii="Wingdings" w:hAnsi="Wingdings" w:hint="default"/>
      </w:rPr>
    </w:lvl>
  </w:abstractNum>
  <w:abstractNum w:abstractNumId="3">
    <w:nsid w:val="344C7382"/>
    <w:multiLevelType w:val="hybridMultilevel"/>
    <w:tmpl w:val="297E4B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D1F6BC7"/>
    <w:multiLevelType w:val="hybridMultilevel"/>
    <w:tmpl w:val="954623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617D3C15"/>
    <w:multiLevelType w:val="hybridMultilevel"/>
    <w:tmpl w:val="6D8AA1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1816B44"/>
    <w:multiLevelType w:val="hybridMultilevel"/>
    <w:tmpl w:val="A4084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D2375B6"/>
    <w:multiLevelType w:val="hybridMultilevel"/>
    <w:tmpl w:val="40A6A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EAC6876"/>
    <w:multiLevelType w:val="hybridMultilevel"/>
    <w:tmpl w:val="97E84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8"/>
  </w:num>
  <w:num w:numId="7">
    <w:abstractNumId w:val="5"/>
  </w:num>
  <w:num w:numId="8">
    <w:abstractNumId w:val="4"/>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36"/>
    <w:rsid w:val="00007934"/>
    <w:rsid w:val="00062F00"/>
    <w:rsid w:val="00073FEC"/>
    <w:rsid w:val="00083736"/>
    <w:rsid w:val="000D1870"/>
    <w:rsid w:val="000F3C45"/>
    <w:rsid w:val="00102B01"/>
    <w:rsid w:val="00107C70"/>
    <w:rsid w:val="00133262"/>
    <w:rsid w:val="001654F8"/>
    <w:rsid w:val="001842AC"/>
    <w:rsid w:val="001878C7"/>
    <w:rsid w:val="001904BE"/>
    <w:rsid w:val="002172FD"/>
    <w:rsid w:val="00263B59"/>
    <w:rsid w:val="00267132"/>
    <w:rsid w:val="00292DEB"/>
    <w:rsid w:val="002B74F3"/>
    <w:rsid w:val="00362E79"/>
    <w:rsid w:val="003B06CD"/>
    <w:rsid w:val="003C556C"/>
    <w:rsid w:val="003E3AFF"/>
    <w:rsid w:val="003F2F82"/>
    <w:rsid w:val="00402D57"/>
    <w:rsid w:val="00435B67"/>
    <w:rsid w:val="004453B9"/>
    <w:rsid w:val="00447B9B"/>
    <w:rsid w:val="00466A82"/>
    <w:rsid w:val="004A1DFB"/>
    <w:rsid w:val="004E2EB0"/>
    <w:rsid w:val="004E6619"/>
    <w:rsid w:val="00534F40"/>
    <w:rsid w:val="005854F3"/>
    <w:rsid w:val="00602BA9"/>
    <w:rsid w:val="00616CFE"/>
    <w:rsid w:val="006230A2"/>
    <w:rsid w:val="006310C7"/>
    <w:rsid w:val="00672FF6"/>
    <w:rsid w:val="006945B2"/>
    <w:rsid w:val="006B46B4"/>
    <w:rsid w:val="006B691F"/>
    <w:rsid w:val="006D0C10"/>
    <w:rsid w:val="00703CD2"/>
    <w:rsid w:val="00751B1E"/>
    <w:rsid w:val="007655ED"/>
    <w:rsid w:val="007C69A2"/>
    <w:rsid w:val="00806E82"/>
    <w:rsid w:val="008121D3"/>
    <w:rsid w:val="00886616"/>
    <w:rsid w:val="008A183D"/>
    <w:rsid w:val="008B69AD"/>
    <w:rsid w:val="009577B8"/>
    <w:rsid w:val="009755A6"/>
    <w:rsid w:val="009839EA"/>
    <w:rsid w:val="009A1113"/>
    <w:rsid w:val="009B2ADA"/>
    <w:rsid w:val="009D027C"/>
    <w:rsid w:val="00A06576"/>
    <w:rsid w:val="00A82727"/>
    <w:rsid w:val="00A90286"/>
    <w:rsid w:val="00B23C56"/>
    <w:rsid w:val="00B31DE1"/>
    <w:rsid w:val="00B6258A"/>
    <w:rsid w:val="00C97975"/>
    <w:rsid w:val="00CA4140"/>
    <w:rsid w:val="00CF40F8"/>
    <w:rsid w:val="00D44682"/>
    <w:rsid w:val="00D447FF"/>
    <w:rsid w:val="00D6725D"/>
    <w:rsid w:val="00D97D07"/>
    <w:rsid w:val="00E37377"/>
    <w:rsid w:val="00E64D30"/>
    <w:rsid w:val="00EA118D"/>
    <w:rsid w:val="00EB48AF"/>
    <w:rsid w:val="00FA0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36"/>
    <w:pPr>
      <w:ind w:left="720"/>
      <w:contextualSpacing/>
    </w:pPr>
  </w:style>
  <w:style w:type="paragraph" w:styleId="NoSpacing">
    <w:name w:val="No Spacing"/>
    <w:uiPriority w:val="1"/>
    <w:qFormat/>
    <w:rsid w:val="00806E82"/>
  </w:style>
  <w:style w:type="character" w:styleId="Hyperlink">
    <w:name w:val="Hyperlink"/>
    <w:basedOn w:val="DefaultParagraphFont"/>
    <w:uiPriority w:val="99"/>
    <w:unhideWhenUsed/>
    <w:rsid w:val="009B2ADA"/>
    <w:rPr>
      <w:color w:val="0000FF" w:themeColor="hyperlink"/>
      <w:u w:val="single"/>
    </w:rPr>
  </w:style>
  <w:style w:type="paragraph" w:styleId="BalloonText">
    <w:name w:val="Balloon Text"/>
    <w:basedOn w:val="Normal"/>
    <w:link w:val="BalloonTextChar"/>
    <w:uiPriority w:val="99"/>
    <w:semiHidden/>
    <w:unhideWhenUsed/>
    <w:rsid w:val="00E37377"/>
    <w:rPr>
      <w:rFonts w:ascii="Tahoma" w:hAnsi="Tahoma" w:cs="Tahoma"/>
      <w:sz w:val="16"/>
      <w:szCs w:val="16"/>
    </w:rPr>
  </w:style>
  <w:style w:type="character" w:customStyle="1" w:styleId="BalloonTextChar">
    <w:name w:val="Balloon Text Char"/>
    <w:basedOn w:val="DefaultParagraphFont"/>
    <w:link w:val="BalloonText"/>
    <w:uiPriority w:val="99"/>
    <w:semiHidden/>
    <w:rsid w:val="00E37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36"/>
    <w:pPr>
      <w:ind w:left="720"/>
      <w:contextualSpacing/>
    </w:pPr>
  </w:style>
  <w:style w:type="paragraph" w:styleId="NoSpacing">
    <w:name w:val="No Spacing"/>
    <w:uiPriority w:val="1"/>
    <w:qFormat/>
    <w:rsid w:val="00806E82"/>
  </w:style>
  <w:style w:type="character" w:styleId="Hyperlink">
    <w:name w:val="Hyperlink"/>
    <w:basedOn w:val="DefaultParagraphFont"/>
    <w:uiPriority w:val="99"/>
    <w:unhideWhenUsed/>
    <w:rsid w:val="009B2ADA"/>
    <w:rPr>
      <w:color w:val="0000FF" w:themeColor="hyperlink"/>
      <w:u w:val="single"/>
    </w:rPr>
  </w:style>
  <w:style w:type="paragraph" w:styleId="BalloonText">
    <w:name w:val="Balloon Text"/>
    <w:basedOn w:val="Normal"/>
    <w:link w:val="BalloonTextChar"/>
    <w:uiPriority w:val="99"/>
    <w:semiHidden/>
    <w:unhideWhenUsed/>
    <w:rsid w:val="00E37377"/>
    <w:rPr>
      <w:rFonts w:ascii="Tahoma" w:hAnsi="Tahoma" w:cs="Tahoma"/>
      <w:sz w:val="16"/>
      <w:szCs w:val="16"/>
    </w:rPr>
  </w:style>
  <w:style w:type="character" w:customStyle="1" w:styleId="BalloonTextChar">
    <w:name w:val="Balloon Text Char"/>
    <w:basedOn w:val="DefaultParagraphFont"/>
    <w:link w:val="BalloonText"/>
    <w:uiPriority w:val="99"/>
    <w:semiHidden/>
    <w:rsid w:val="00E37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c-pe.exposure.co/"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cic-pe.exposure.co/" TargetMode="External"/><Relationship Id="rId4" Type="http://schemas.microsoft.com/office/2007/relationships/stylesWithEffects" Target="stylesWithEffects.xml"/><Relationship Id="rId9" Type="http://schemas.openxmlformats.org/officeDocument/2006/relationships/hyperlink" Target="http://www.interpeace.org/documents/international-dialogue/256-istanbul-cso-development-effectiveness-principles/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CE37-6130-4EA6-9FEA-24BC9C1E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3</cp:revision>
  <cp:lastPrinted>2015-05-22T19:04:00Z</cp:lastPrinted>
  <dcterms:created xsi:type="dcterms:W3CDTF">2015-05-22T19:03:00Z</dcterms:created>
  <dcterms:modified xsi:type="dcterms:W3CDTF">2015-05-22T20:21:00Z</dcterms:modified>
</cp:coreProperties>
</file>